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A65" w:rsidRDefault="000B4A65" w:rsidP="000B4A65">
      <w:pPr>
        <w:jc w:val="center"/>
        <w:rPr>
          <w:b/>
          <w:i/>
          <w:lang w:val="es-ES"/>
        </w:rPr>
      </w:pPr>
      <w:r w:rsidRPr="00424B36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9F27C71" wp14:editId="369CBF16">
            <wp:simplePos x="0" y="0"/>
            <wp:positionH relativeFrom="margin">
              <wp:posOffset>-708660</wp:posOffset>
            </wp:positionH>
            <wp:positionV relativeFrom="paragraph">
              <wp:posOffset>-747395</wp:posOffset>
            </wp:positionV>
            <wp:extent cx="809625" cy="742950"/>
            <wp:effectExtent l="0" t="0" r="9525" b="0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4BD8" w:rsidRPr="00694BD8" w:rsidRDefault="00694BD8" w:rsidP="00694BD8">
      <w:pPr>
        <w:pStyle w:val="Heading1"/>
        <w:spacing w:before="0"/>
        <w:jc w:val="center"/>
        <w:rPr>
          <w:rFonts w:ascii="Times New Roman" w:hAnsi="Times New Roman" w:cs="Times New Roman"/>
          <w:color w:val="02377E"/>
          <w:sz w:val="28"/>
          <w:lang w:val="es-ES"/>
        </w:rPr>
      </w:pPr>
      <w:r w:rsidRPr="00694BD8">
        <w:rPr>
          <w:rFonts w:ascii="Times New Roman" w:hAnsi="Times New Roman" w:cs="Times New Roman"/>
          <w:color w:val="02377E"/>
          <w:sz w:val="28"/>
          <w:lang w:val="es-ES"/>
        </w:rPr>
        <w:t xml:space="preserve">INFORME DE </w:t>
      </w:r>
      <w:r w:rsidR="000B4A65" w:rsidRPr="00694BD8">
        <w:rPr>
          <w:rFonts w:ascii="Times New Roman" w:hAnsi="Times New Roman" w:cs="Times New Roman"/>
          <w:color w:val="02377E"/>
          <w:sz w:val="28"/>
          <w:lang w:val="es-ES"/>
        </w:rPr>
        <w:t>PRIMAS NETAS COBRADAS</w:t>
      </w:r>
    </w:p>
    <w:p w:rsidR="005B3D06" w:rsidRPr="00694BD8" w:rsidRDefault="000B4A65" w:rsidP="00694BD8">
      <w:pPr>
        <w:pStyle w:val="Heading1"/>
        <w:spacing w:before="0"/>
        <w:jc w:val="center"/>
        <w:rPr>
          <w:rFonts w:ascii="Times New Roman" w:hAnsi="Times New Roman" w:cs="Times New Roman"/>
          <w:color w:val="02377E"/>
          <w:sz w:val="28"/>
          <w:lang w:val="es-ES"/>
        </w:rPr>
      </w:pPr>
      <w:r w:rsidRPr="00694BD8">
        <w:rPr>
          <w:rFonts w:ascii="Times New Roman" w:hAnsi="Times New Roman" w:cs="Times New Roman"/>
          <w:color w:val="02377E"/>
          <w:sz w:val="28"/>
          <w:lang w:val="es-ES"/>
        </w:rPr>
        <w:t xml:space="preserve"> </w:t>
      </w:r>
      <w:r w:rsidR="000146CA">
        <w:rPr>
          <w:rFonts w:ascii="Times New Roman" w:hAnsi="Times New Roman" w:cs="Times New Roman"/>
          <w:color w:val="02377E"/>
          <w:sz w:val="28"/>
          <w:lang w:val="es-ES"/>
        </w:rPr>
        <w:t xml:space="preserve">Marzo </w:t>
      </w:r>
      <w:r w:rsidR="00694BD8" w:rsidRPr="00694BD8">
        <w:rPr>
          <w:rFonts w:ascii="Times New Roman" w:hAnsi="Times New Roman" w:cs="Times New Roman"/>
          <w:color w:val="02377E"/>
          <w:sz w:val="28"/>
          <w:lang w:val="es-ES"/>
        </w:rPr>
        <w:t>202</w:t>
      </w:r>
      <w:r w:rsidR="000146CA">
        <w:rPr>
          <w:rFonts w:ascii="Times New Roman" w:hAnsi="Times New Roman" w:cs="Times New Roman"/>
          <w:color w:val="02377E"/>
          <w:sz w:val="28"/>
          <w:lang w:val="es-ES"/>
        </w:rPr>
        <w:t>5</w:t>
      </w:r>
      <w:bookmarkStart w:id="0" w:name="_GoBack"/>
      <w:bookmarkEnd w:id="0"/>
    </w:p>
    <w:p w:rsidR="00B25F88" w:rsidRDefault="00B25F88" w:rsidP="000B4A65">
      <w:pPr>
        <w:spacing w:line="360" w:lineRule="auto"/>
        <w:jc w:val="both"/>
        <w:rPr>
          <w:lang w:val="es-ES"/>
        </w:rPr>
      </w:pPr>
    </w:p>
    <w:p w:rsidR="000B4A65" w:rsidRPr="000146CA" w:rsidRDefault="00B25F88" w:rsidP="00F40A43">
      <w:pPr>
        <w:spacing w:line="276" w:lineRule="auto"/>
        <w:jc w:val="both"/>
        <w:rPr>
          <w:lang w:val="es-ES"/>
        </w:rPr>
      </w:pPr>
      <w:r w:rsidRPr="000146CA">
        <w:rPr>
          <w:lang w:val="es-ES"/>
        </w:rPr>
        <w:t xml:space="preserve">Al concluir el mes de </w:t>
      </w:r>
      <w:r w:rsidR="000146CA" w:rsidRPr="000146CA">
        <w:rPr>
          <w:lang w:val="es-ES"/>
        </w:rPr>
        <w:t>marzo</w:t>
      </w:r>
      <w:r w:rsidRPr="000146CA">
        <w:rPr>
          <w:lang w:val="es-ES"/>
        </w:rPr>
        <w:t xml:space="preserve"> de 202</w:t>
      </w:r>
      <w:r w:rsidR="000146CA" w:rsidRPr="000146CA">
        <w:rPr>
          <w:lang w:val="es-ES"/>
        </w:rPr>
        <w:t>5</w:t>
      </w:r>
      <w:r w:rsidR="00FD1DF1" w:rsidRPr="000146CA">
        <w:rPr>
          <w:lang w:val="es-ES"/>
        </w:rPr>
        <w:t>,</w:t>
      </w:r>
      <w:r w:rsidRPr="000146CA">
        <w:rPr>
          <w:lang w:val="es-ES"/>
        </w:rPr>
        <w:t xml:space="preserve"> las </w:t>
      </w:r>
      <w:r w:rsidR="000B4A65" w:rsidRPr="000146CA">
        <w:rPr>
          <w:lang w:val="es-ES"/>
        </w:rPr>
        <w:t>Primas Netas Cobradas (PNC)</w:t>
      </w:r>
      <w:r w:rsidRPr="000146CA">
        <w:rPr>
          <w:lang w:val="es-ES"/>
        </w:rPr>
        <w:t xml:space="preserve"> </w:t>
      </w:r>
      <w:r w:rsidR="009D75F9" w:rsidRPr="000146CA">
        <w:rPr>
          <w:lang w:val="es-ES"/>
        </w:rPr>
        <w:t>alcanzar</w:t>
      </w:r>
      <w:r w:rsidR="000B4A65" w:rsidRPr="000146CA">
        <w:rPr>
          <w:lang w:val="es-ES"/>
        </w:rPr>
        <w:t>on un importe de RD$</w:t>
      </w:r>
      <w:r w:rsidR="00AA4C7E" w:rsidRPr="000146CA">
        <w:rPr>
          <w:lang w:val="es-ES"/>
        </w:rPr>
        <w:t>1</w:t>
      </w:r>
      <w:r w:rsidR="000146CA" w:rsidRPr="000146CA">
        <w:rPr>
          <w:lang w:val="es-ES"/>
        </w:rPr>
        <w:t>3</w:t>
      </w:r>
      <w:r w:rsidR="00B6269C" w:rsidRPr="000146CA">
        <w:rPr>
          <w:lang w:val="es-ES"/>
        </w:rPr>
        <w:t>,</w:t>
      </w:r>
      <w:r w:rsidR="000146CA" w:rsidRPr="000146CA">
        <w:rPr>
          <w:lang w:val="es-ES"/>
        </w:rPr>
        <w:t>6</w:t>
      </w:r>
      <w:r w:rsidR="009D7C17">
        <w:rPr>
          <w:lang w:val="es-ES"/>
        </w:rPr>
        <w:t>12</w:t>
      </w:r>
      <w:r w:rsidR="00B6269C" w:rsidRPr="000146CA">
        <w:rPr>
          <w:lang w:val="es-ES"/>
        </w:rPr>
        <w:t>.</w:t>
      </w:r>
      <w:r w:rsidR="009D7C17">
        <w:rPr>
          <w:lang w:val="es-ES"/>
        </w:rPr>
        <w:t>4</w:t>
      </w:r>
      <w:r w:rsidR="00B6269C" w:rsidRPr="000146CA">
        <w:rPr>
          <w:lang w:val="es-ES"/>
        </w:rPr>
        <w:t xml:space="preserve"> </w:t>
      </w:r>
      <w:r w:rsidR="000B4A65" w:rsidRPr="000146CA">
        <w:t xml:space="preserve">millones, </w:t>
      </w:r>
      <w:r w:rsidR="009B2B83" w:rsidRPr="000146CA">
        <w:t xml:space="preserve">en términos comparativos esto </w:t>
      </w:r>
      <w:r w:rsidR="00AF3E17" w:rsidRPr="000146CA">
        <w:t>represent</w:t>
      </w:r>
      <w:r w:rsidR="000B4A65" w:rsidRPr="000146CA">
        <w:t>ó u</w:t>
      </w:r>
      <w:r w:rsidR="0029677A">
        <w:rPr>
          <w:lang w:val="es-ES"/>
        </w:rPr>
        <w:t>n</w:t>
      </w:r>
      <w:r w:rsidR="0029677A" w:rsidRPr="000146CA">
        <w:rPr>
          <w:lang w:val="es-ES"/>
        </w:rPr>
        <w:t>a</w:t>
      </w:r>
      <w:r w:rsidR="00BD2735" w:rsidRPr="000146CA">
        <w:rPr>
          <w:lang w:val="es-ES"/>
        </w:rPr>
        <w:t xml:space="preserve"> variación interanual</w:t>
      </w:r>
      <w:r w:rsidR="000B4A65" w:rsidRPr="000146CA">
        <w:rPr>
          <w:lang w:val="es-ES"/>
        </w:rPr>
        <w:t xml:space="preserve"> RD$</w:t>
      </w:r>
      <w:r w:rsidR="000146CA" w:rsidRPr="000146CA">
        <w:rPr>
          <w:lang w:val="es-ES"/>
        </w:rPr>
        <w:t>2</w:t>
      </w:r>
      <w:r w:rsidR="00B6269C" w:rsidRPr="000146CA">
        <w:rPr>
          <w:lang w:val="es-ES"/>
        </w:rPr>
        <w:t>,</w:t>
      </w:r>
      <w:r w:rsidR="000146CA" w:rsidRPr="000146CA">
        <w:rPr>
          <w:lang w:val="es-ES"/>
        </w:rPr>
        <w:t>1</w:t>
      </w:r>
      <w:r w:rsidR="009D7C17">
        <w:rPr>
          <w:lang w:val="es-ES"/>
        </w:rPr>
        <w:t>70</w:t>
      </w:r>
      <w:r w:rsidR="00B6269C" w:rsidRPr="000146CA">
        <w:rPr>
          <w:lang w:val="es-ES"/>
        </w:rPr>
        <w:t>.</w:t>
      </w:r>
      <w:r w:rsidR="009D7C17">
        <w:rPr>
          <w:lang w:val="es-ES"/>
        </w:rPr>
        <w:t>9</w:t>
      </w:r>
      <w:r w:rsidR="003455BB" w:rsidRPr="000146CA">
        <w:rPr>
          <w:lang w:val="es-ES"/>
        </w:rPr>
        <w:t xml:space="preserve"> </w:t>
      </w:r>
      <w:r w:rsidR="000B4A65" w:rsidRPr="000146CA">
        <w:t>millones, equivalente a</w:t>
      </w:r>
      <w:r w:rsidR="003455BB" w:rsidRPr="000146CA">
        <w:t xml:space="preserve"> </w:t>
      </w:r>
      <w:r w:rsidR="00FA6C52" w:rsidRPr="000146CA">
        <w:t xml:space="preserve">un incremento de </w:t>
      </w:r>
      <w:r w:rsidR="008822CD" w:rsidRPr="000146CA">
        <w:t>1</w:t>
      </w:r>
      <w:r w:rsidR="009D7C17">
        <w:t>9</w:t>
      </w:r>
      <w:r w:rsidR="008822CD" w:rsidRPr="000146CA">
        <w:t>.</w:t>
      </w:r>
      <w:r w:rsidR="009D7C17">
        <w:t>0</w:t>
      </w:r>
      <w:r w:rsidR="000B4A65" w:rsidRPr="000146CA">
        <w:rPr>
          <w:lang w:val="es-ES"/>
        </w:rPr>
        <w:t>% respecto a igual</w:t>
      </w:r>
      <w:r w:rsidRPr="000146CA">
        <w:rPr>
          <w:lang w:val="es-ES"/>
        </w:rPr>
        <w:t xml:space="preserve"> mes</w:t>
      </w:r>
      <w:r w:rsidR="000B4A65" w:rsidRPr="000146CA">
        <w:rPr>
          <w:lang w:val="es-ES"/>
        </w:rPr>
        <w:t xml:space="preserve"> del año anterior.</w:t>
      </w:r>
    </w:p>
    <w:p w:rsidR="000B4A65" w:rsidRPr="008822CD" w:rsidRDefault="000B4A65" w:rsidP="00F40A43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:rsidR="000B4A65" w:rsidRPr="000146CA" w:rsidRDefault="000B4A65" w:rsidP="00F40A43">
      <w:pPr>
        <w:spacing w:line="276" w:lineRule="auto"/>
        <w:jc w:val="both"/>
        <w:rPr>
          <w:color w:val="000000" w:themeColor="text1"/>
          <w:lang w:val="es-ES"/>
        </w:rPr>
      </w:pPr>
      <w:r w:rsidRPr="008C2637">
        <w:rPr>
          <w:color w:val="000000" w:themeColor="text1"/>
          <w:lang w:val="es-ES"/>
        </w:rPr>
        <w:t>Respecto a</w:t>
      </w:r>
      <w:r w:rsidR="009D75F9" w:rsidRPr="008C2637">
        <w:rPr>
          <w:color w:val="000000" w:themeColor="text1"/>
          <w:lang w:val="es-ES"/>
        </w:rPr>
        <w:t>l desglose</w:t>
      </w:r>
      <w:r w:rsidRPr="008C2637">
        <w:rPr>
          <w:color w:val="000000" w:themeColor="text1"/>
          <w:lang w:val="es-ES"/>
        </w:rPr>
        <w:t xml:space="preserve"> por ramos,</w:t>
      </w:r>
      <w:r w:rsidR="008C2637" w:rsidRPr="008C2637">
        <w:rPr>
          <w:color w:val="000000" w:themeColor="text1"/>
          <w:lang w:val="es-ES"/>
        </w:rPr>
        <w:t xml:space="preserve"> </w:t>
      </w:r>
      <w:r w:rsidR="00694BD8" w:rsidRPr="008C2637">
        <w:rPr>
          <w:color w:val="000000" w:themeColor="text1"/>
          <w:lang w:val="es-ES"/>
        </w:rPr>
        <w:t>los de</w:t>
      </w:r>
      <w:r w:rsidR="00527911" w:rsidRPr="008C2637">
        <w:rPr>
          <w:color w:val="000000" w:themeColor="text1"/>
          <w:lang w:val="es-ES"/>
        </w:rPr>
        <w:t xml:space="preserve"> mayor crecimiento</w:t>
      </w:r>
      <w:r w:rsidR="009D75F9" w:rsidRPr="008C2637">
        <w:rPr>
          <w:color w:val="000000" w:themeColor="text1"/>
          <w:lang w:val="es-ES"/>
        </w:rPr>
        <w:t xml:space="preserve"> </w:t>
      </w:r>
      <w:r w:rsidR="00527911" w:rsidRPr="008C2637">
        <w:rPr>
          <w:color w:val="000000" w:themeColor="text1"/>
          <w:lang w:val="es-ES"/>
        </w:rPr>
        <w:t xml:space="preserve">interanual </w:t>
      </w:r>
      <w:r w:rsidRPr="008C2637">
        <w:rPr>
          <w:color w:val="000000" w:themeColor="text1"/>
          <w:lang w:val="es-ES"/>
        </w:rPr>
        <w:t xml:space="preserve">fueron los siguientes: </w:t>
      </w:r>
      <w:r w:rsidR="00271179" w:rsidRPr="008C2637">
        <w:rPr>
          <w:color w:val="000000" w:themeColor="text1"/>
          <w:lang w:val="es-ES"/>
        </w:rPr>
        <w:t>I</w:t>
      </w:r>
      <w:r w:rsidR="000146CA" w:rsidRPr="008C2637">
        <w:rPr>
          <w:color w:val="000000" w:themeColor="text1"/>
          <w:lang w:val="es-ES"/>
        </w:rPr>
        <w:t>ncendio y aliados</w:t>
      </w:r>
      <w:r w:rsidR="00B228D5" w:rsidRPr="008C2637">
        <w:rPr>
          <w:color w:val="000000" w:themeColor="text1"/>
          <w:lang w:val="es-ES"/>
        </w:rPr>
        <w:t xml:space="preserve"> </w:t>
      </w:r>
      <w:r w:rsidR="00D82B12" w:rsidRPr="008C2637">
        <w:rPr>
          <w:color w:val="000000" w:themeColor="text1"/>
          <w:lang w:val="es-ES"/>
        </w:rPr>
        <w:t>3</w:t>
      </w:r>
      <w:r w:rsidR="000146CA" w:rsidRPr="008C2637">
        <w:rPr>
          <w:color w:val="000000" w:themeColor="text1"/>
          <w:lang w:val="es-ES"/>
        </w:rPr>
        <w:t>6</w:t>
      </w:r>
      <w:r w:rsidR="00D82B12" w:rsidRPr="008C2637">
        <w:rPr>
          <w:color w:val="000000" w:themeColor="text1"/>
          <w:lang w:val="es-ES"/>
        </w:rPr>
        <w:t>.</w:t>
      </w:r>
      <w:r w:rsidR="000146CA" w:rsidRPr="008C2637">
        <w:rPr>
          <w:color w:val="000000" w:themeColor="text1"/>
          <w:lang w:val="es-ES"/>
        </w:rPr>
        <w:t>2</w:t>
      </w:r>
      <w:r w:rsidRPr="008C2637">
        <w:rPr>
          <w:color w:val="000000" w:themeColor="text1"/>
          <w:lang w:val="es-ES"/>
        </w:rPr>
        <w:t>%</w:t>
      </w:r>
      <w:r w:rsidR="00E46B60" w:rsidRPr="008C2637">
        <w:rPr>
          <w:color w:val="000000" w:themeColor="text1"/>
          <w:lang w:val="es-ES"/>
        </w:rPr>
        <w:t>,</w:t>
      </w:r>
      <w:r w:rsidR="00824C5A" w:rsidRPr="008C2637">
        <w:rPr>
          <w:color w:val="000000" w:themeColor="text1"/>
          <w:lang w:val="es-ES"/>
        </w:rPr>
        <w:t xml:space="preserve"> </w:t>
      </w:r>
      <w:r w:rsidR="000146CA" w:rsidRPr="008C2637">
        <w:rPr>
          <w:color w:val="000000" w:themeColor="text1"/>
          <w:lang w:val="es-ES"/>
        </w:rPr>
        <w:t>transporte de carga</w:t>
      </w:r>
      <w:r w:rsidR="00E726BB" w:rsidRPr="008C2637">
        <w:rPr>
          <w:color w:val="000000" w:themeColor="text1"/>
          <w:lang w:val="es-ES"/>
        </w:rPr>
        <w:t xml:space="preserve"> </w:t>
      </w:r>
      <w:r w:rsidR="000146CA" w:rsidRPr="008C2637">
        <w:rPr>
          <w:color w:val="000000" w:themeColor="text1"/>
          <w:lang w:val="es-ES"/>
        </w:rPr>
        <w:t>30</w:t>
      </w:r>
      <w:r w:rsidR="00D82B12" w:rsidRPr="008C2637">
        <w:rPr>
          <w:color w:val="000000" w:themeColor="text1"/>
          <w:lang w:val="es-ES"/>
        </w:rPr>
        <w:t>.</w:t>
      </w:r>
      <w:r w:rsidR="000146CA" w:rsidRPr="008C2637">
        <w:rPr>
          <w:color w:val="000000" w:themeColor="text1"/>
          <w:lang w:val="es-ES"/>
        </w:rPr>
        <w:t>6</w:t>
      </w:r>
      <w:r w:rsidR="00E46B60" w:rsidRPr="008C2637">
        <w:rPr>
          <w:color w:val="000000" w:themeColor="text1"/>
          <w:lang w:val="es-ES"/>
        </w:rPr>
        <w:t>%</w:t>
      </w:r>
      <w:r w:rsidR="00E726BB" w:rsidRPr="008C2637">
        <w:rPr>
          <w:color w:val="000000" w:themeColor="text1"/>
          <w:lang w:val="es-ES"/>
        </w:rPr>
        <w:t xml:space="preserve"> y</w:t>
      </w:r>
      <w:r w:rsidR="00E46B60" w:rsidRPr="008C2637">
        <w:rPr>
          <w:color w:val="000000" w:themeColor="text1"/>
          <w:lang w:val="es-ES"/>
        </w:rPr>
        <w:t xml:space="preserve"> </w:t>
      </w:r>
      <w:r w:rsidR="000146CA" w:rsidRPr="008C2637">
        <w:rPr>
          <w:color w:val="000000" w:themeColor="text1"/>
          <w:lang w:val="es-ES"/>
        </w:rPr>
        <w:t>fianzas</w:t>
      </w:r>
      <w:r w:rsidR="00271179" w:rsidRPr="008C2637">
        <w:rPr>
          <w:color w:val="000000" w:themeColor="text1"/>
          <w:lang w:val="es-ES"/>
        </w:rPr>
        <w:t xml:space="preserve"> </w:t>
      </w:r>
      <w:r w:rsidR="000146CA" w:rsidRPr="008C2637">
        <w:rPr>
          <w:color w:val="000000" w:themeColor="text1"/>
          <w:lang w:val="es-ES"/>
        </w:rPr>
        <w:t>31.3%</w:t>
      </w:r>
      <w:r w:rsidR="00E726BB" w:rsidRPr="008C2637">
        <w:rPr>
          <w:color w:val="000000" w:themeColor="text1"/>
          <w:lang w:val="es-ES"/>
        </w:rPr>
        <w:t xml:space="preserve">. </w:t>
      </w:r>
      <w:r w:rsidRPr="008C2637">
        <w:rPr>
          <w:color w:val="000000" w:themeColor="text1"/>
          <w:lang w:val="es-ES"/>
        </w:rPr>
        <w:t>En contraste</w:t>
      </w:r>
      <w:r w:rsidR="008C2637" w:rsidRPr="008C2637">
        <w:rPr>
          <w:color w:val="000000" w:themeColor="text1"/>
          <w:lang w:val="es-ES"/>
        </w:rPr>
        <w:t xml:space="preserve"> </w:t>
      </w:r>
      <w:r w:rsidR="00271179" w:rsidRPr="008C2637">
        <w:rPr>
          <w:color w:val="000000" w:themeColor="text1"/>
          <w:lang w:val="es-ES"/>
        </w:rPr>
        <w:t xml:space="preserve">y </w:t>
      </w:r>
      <w:r w:rsidR="008C2637" w:rsidRPr="008C2637">
        <w:rPr>
          <w:color w:val="000000" w:themeColor="text1"/>
          <w:lang w:val="es-ES"/>
        </w:rPr>
        <w:t xml:space="preserve">Naves Marítimas y Aéreas </w:t>
      </w:r>
      <w:r w:rsidR="009D7C17" w:rsidRPr="008C2637">
        <w:rPr>
          <w:color w:val="000000" w:themeColor="text1"/>
          <w:lang w:val="es-ES"/>
        </w:rPr>
        <w:t xml:space="preserve">y Otros seguros se redujeron </w:t>
      </w:r>
      <w:r w:rsidR="00E94208" w:rsidRPr="008C2637">
        <w:rPr>
          <w:color w:val="000000" w:themeColor="text1"/>
          <w:lang w:val="es-ES"/>
        </w:rPr>
        <w:t xml:space="preserve">en 41.5% y </w:t>
      </w:r>
      <w:r w:rsidR="00271179" w:rsidRPr="008C2637">
        <w:rPr>
          <w:color w:val="000000" w:themeColor="text1"/>
          <w:lang w:val="es-ES"/>
        </w:rPr>
        <w:t>18.</w:t>
      </w:r>
      <w:r w:rsidR="00E94208" w:rsidRPr="008C2637">
        <w:rPr>
          <w:color w:val="000000" w:themeColor="text1"/>
          <w:lang w:val="es-ES"/>
        </w:rPr>
        <w:t>5</w:t>
      </w:r>
      <w:r w:rsidR="00271179" w:rsidRPr="008C2637">
        <w:rPr>
          <w:color w:val="000000" w:themeColor="text1"/>
          <w:lang w:val="es-ES"/>
        </w:rPr>
        <w:t>%</w:t>
      </w:r>
      <w:r w:rsidR="008C2637" w:rsidRPr="008C2637">
        <w:rPr>
          <w:color w:val="000000" w:themeColor="text1"/>
          <w:lang w:val="es-ES"/>
        </w:rPr>
        <w:t xml:space="preserve"> respectivamente</w:t>
      </w:r>
      <w:r w:rsidR="00E726BB" w:rsidRPr="008C2637">
        <w:rPr>
          <w:color w:val="000000" w:themeColor="text1"/>
          <w:lang w:val="es-ES"/>
        </w:rPr>
        <w:t>.</w:t>
      </w:r>
    </w:p>
    <w:p w:rsidR="00F40A43" w:rsidRPr="00D82B12" w:rsidRDefault="00F40A43" w:rsidP="00F40A43">
      <w:pPr>
        <w:spacing w:line="276" w:lineRule="auto"/>
        <w:jc w:val="both"/>
        <w:rPr>
          <w:bCs/>
          <w:color w:val="FF0000"/>
          <w:lang w:val="es-ES"/>
        </w:rPr>
      </w:pPr>
    </w:p>
    <w:p w:rsidR="000B4A65" w:rsidRPr="007A1E33" w:rsidRDefault="000B4A65" w:rsidP="00F40A43">
      <w:pPr>
        <w:spacing w:line="276" w:lineRule="auto"/>
        <w:jc w:val="both"/>
        <w:rPr>
          <w:color w:val="000000" w:themeColor="text1"/>
          <w:lang w:val="es-ES"/>
        </w:rPr>
      </w:pPr>
      <w:r w:rsidRPr="007A1E33">
        <w:rPr>
          <w:color w:val="000000" w:themeColor="text1"/>
          <w:lang w:val="es-ES"/>
        </w:rPr>
        <w:t>Las Primas Netas Cobradas No Exoneradas alcanzaron un valor de RD$</w:t>
      </w:r>
      <w:r w:rsidR="007A1E33" w:rsidRPr="007A1E33">
        <w:rPr>
          <w:color w:val="000000" w:themeColor="text1"/>
          <w:lang w:val="es-ES"/>
        </w:rPr>
        <w:t>8</w:t>
      </w:r>
      <w:r w:rsidR="00A14114" w:rsidRPr="007A1E33">
        <w:rPr>
          <w:color w:val="000000" w:themeColor="text1"/>
          <w:lang w:val="es-ES"/>
        </w:rPr>
        <w:t>,</w:t>
      </w:r>
      <w:r w:rsidR="00D82B12" w:rsidRPr="007A1E33">
        <w:rPr>
          <w:color w:val="000000" w:themeColor="text1"/>
          <w:lang w:val="es-ES"/>
        </w:rPr>
        <w:t>8</w:t>
      </w:r>
      <w:r w:rsidR="007A1E33" w:rsidRPr="007A1E33">
        <w:rPr>
          <w:color w:val="000000" w:themeColor="text1"/>
          <w:lang w:val="es-ES"/>
        </w:rPr>
        <w:t>82</w:t>
      </w:r>
      <w:r w:rsidR="00A14114" w:rsidRPr="007A1E33">
        <w:rPr>
          <w:color w:val="000000" w:themeColor="text1"/>
          <w:lang w:val="es-ES"/>
        </w:rPr>
        <w:t>.</w:t>
      </w:r>
      <w:r w:rsidR="00F25C5D">
        <w:rPr>
          <w:color w:val="000000" w:themeColor="text1"/>
          <w:lang w:val="es-ES"/>
        </w:rPr>
        <w:t>1</w:t>
      </w:r>
      <w:r w:rsidR="00A14114" w:rsidRPr="007A1E33">
        <w:rPr>
          <w:color w:val="000000" w:themeColor="text1"/>
          <w:lang w:val="es-ES"/>
        </w:rPr>
        <w:t xml:space="preserve"> </w:t>
      </w:r>
      <w:r w:rsidRPr="007A1E33">
        <w:rPr>
          <w:color w:val="000000" w:themeColor="text1"/>
          <w:lang w:val="es-ES"/>
        </w:rPr>
        <w:t xml:space="preserve">millones, representando el </w:t>
      </w:r>
      <w:r w:rsidR="00A14114" w:rsidRPr="007A1E33">
        <w:rPr>
          <w:color w:val="000000" w:themeColor="text1"/>
          <w:lang w:val="es-ES"/>
        </w:rPr>
        <w:t>6</w:t>
      </w:r>
      <w:r w:rsidR="007A1E33" w:rsidRPr="007A1E33">
        <w:rPr>
          <w:color w:val="000000" w:themeColor="text1"/>
          <w:lang w:val="es-ES"/>
        </w:rPr>
        <w:t>5</w:t>
      </w:r>
      <w:r w:rsidR="00A14114" w:rsidRPr="007A1E33">
        <w:rPr>
          <w:color w:val="000000" w:themeColor="text1"/>
          <w:lang w:val="es-ES"/>
        </w:rPr>
        <w:t>.</w:t>
      </w:r>
      <w:r w:rsidR="007A1E33" w:rsidRPr="007A1E33">
        <w:rPr>
          <w:color w:val="000000" w:themeColor="text1"/>
          <w:lang w:val="es-ES"/>
        </w:rPr>
        <w:t>3</w:t>
      </w:r>
      <w:r w:rsidRPr="007A1E33">
        <w:rPr>
          <w:color w:val="000000" w:themeColor="text1"/>
          <w:lang w:val="es-ES"/>
        </w:rPr>
        <w:t xml:space="preserve">% del total de Primas Netas Cobradas. Mientras que, las Primas Exoneradas de impuestos registraron </w:t>
      </w:r>
      <w:r w:rsidR="009E6E87" w:rsidRPr="007A1E33">
        <w:rPr>
          <w:color w:val="000000" w:themeColor="text1"/>
          <w:lang w:val="es-ES"/>
        </w:rPr>
        <w:t>una suma</w:t>
      </w:r>
      <w:r w:rsidRPr="007A1E33">
        <w:rPr>
          <w:color w:val="000000" w:themeColor="text1"/>
          <w:lang w:val="es-ES"/>
        </w:rPr>
        <w:t xml:space="preserve"> de RD$</w:t>
      </w:r>
      <w:r w:rsidR="00A14114" w:rsidRPr="007A1E33">
        <w:rPr>
          <w:color w:val="000000" w:themeColor="text1"/>
          <w:lang w:val="es-ES"/>
        </w:rPr>
        <w:t>4,</w:t>
      </w:r>
      <w:r w:rsidR="007A1E33" w:rsidRPr="007A1E33">
        <w:rPr>
          <w:color w:val="000000" w:themeColor="text1"/>
          <w:lang w:val="es-ES"/>
        </w:rPr>
        <w:t>725</w:t>
      </w:r>
      <w:r w:rsidR="00A14114" w:rsidRPr="007A1E33">
        <w:rPr>
          <w:color w:val="000000" w:themeColor="text1"/>
          <w:lang w:val="es-ES"/>
        </w:rPr>
        <w:t>.</w:t>
      </w:r>
      <w:r w:rsidR="007A1E33" w:rsidRPr="007A1E33">
        <w:rPr>
          <w:color w:val="000000" w:themeColor="text1"/>
          <w:lang w:val="es-ES"/>
        </w:rPr>
        <w:t>9</w:t>
      </w:r>
      <w:r w:rsidR="009E6E87" w:rsidRPr="007A1E33">
        <w:rPr>
          <w:color w:val="000000" w:themeColor="text1"/>
          <w:lang w:val="es-ES"/>
        </w:rPr>
        <w:t xml:space="preserve"> </w:t>
      </w:r>
      <w:r w:rsidRPr="007A1E33">
        <w:rPr>
          <w:color w:val="000000" w:themeColor="text1"/>
          <w:lang w:val="es-ES"/>
        </w:rPr>
        <w:t>millones, para una p</w:t>
      </w:r>
      <w:r w:rsidR="009E6E87" w:rsidRPr="007A1E33">
        <w:rPr>
          <w:color w:val="000000" w:themeColor="text1"/>
          <w:lang w:val="es-ES"/>
        </w:rPr>
        <w:t>onderaci</w:t>
      </w:r>
      <w:r w:rsidRPr="007A1E33">
        <w:rPr>
          <w:color w:val="000000" w:themeColor="text1"/>
          <w:lang w:val="es-ES"/>
        </w:rPr>
        <w:t xml:space="preserve">ón </w:t>
      </w:r>
      <w:r w:rsidR="009E6E87" w:rsidRPr="007A1E33">
        <w:rPr>
          <w:color w:val="000000" w:themeColor="text1"/>
          <w:lang w:val="es-ES"/>
        </w:rPr>
        <w:t xml:space="preserve">de </w:t>
      </w:r>
      <w:r w:rsidRPr="007A1E33">
        <w:rPr>
          <w:color w:val="000000" w:themeColor="text1"/>
          <w:lang w:val="es-ES"/>
        </w:rPr>
        <w:t>3</w:t>
      </w:r>
      <w:r w:rsidR="007A1E33" w:rsidRPr="007A1E33">
        <w:rPr>
          <w:color w:val="000000" w:themeColor="text1"/>
          <w:lang w:val="es-ES"/>
        </w:rPr>
        <w:t>4</w:t>
      </w:r>
      <w:r w:rsidR="00A14114" w:rsidRPr="007A1E33">
        <w:rPr>
          <w:color w:val="000000" w:themeColor="text1"/>
          <w:lang w:val="es-ES"/>
        </w:rPr>
        <w:t>.</w:t>
      </w:r>
      <w:r w:rsidR="007A1E33" w:rsidRPr="007A1E33">
        <w:rPr>
          <w:color w:val="000000" w:themeColor="text1"/>
          <w:lang w:val="es-ES"/>
        </w:rPr>
        <w:t>7</w:t>
      </w:r>
      <w:r w:rsidRPr="007A1E33">
        <w:rPr>
          <w:color w:val="000000" w:themeColor="text1"/>
          <w:lang w:val="es-ES"/>
        </w:rPr>
        <w:t xml:space="preserve">% </w:t>
      </w:r>
      <w:r w:rsidR="009E6E87" w:rsidRPr="007A1E33">
        <w:rPr>
          <w:color w:val="000000" w:themeColor="text1"/>
          <w:lang w:val="es-ES"/>
        </w:rPr>
        <w:t>sobre el</w:t>
      </w:r>
      <w:r w:rsidRPr="007A1E33">
        <w:rPr>
          <w:color w:val="000000" w:themeColor="text1"/>
          <w:lang w:val="es-ES"/>
        </w:rPr>
        <w:t xml:space="preserve"> total de las Primas Netas Cobradas.</w:t>
      </w:r>
      <w:r w:rsidRPr="007A1E33">
        <w:rPr>
          <w:bCs/>
          <w:color w:val="000000" w:themeColor="text1"/>
        </w:rPr>
        <w:t xml:space="preserve"> </w:t>
      </w:r>
      <w:r w:rsidRPr="007A1E33">
        <w:rPr>
          <w:color w:val="000000" w:themeColor="text1"/>
          <w:lang w:val="es-ES"/>
        </w:rPr>
        <w:t xml:space="preserve">Los ramos con mayor participación en el total Primas Netas Cobradas Exoneradas </w:t>
      </w:r>
      <w:r w:rsidR="00527911" w:rsidRPr="007A1E33">
        <w:rPr>
          <w:color w:val="000000" w:themeColor="text1"/>
          <w:lang w:val="es-ES"/>
        </w:rPr>
        <w:t>son</w:t>
      </w:r>
      <w:r w:rsidRPr="007A1E33">
        <w:rPr>
          <w:color w:val="000000" w:themeColor="text1"/>
          <w:lang w:val="es-ES"/>
        </w:rPr>
        <w:t>: Salud y</w:t>
      </w:r>
      <w:r w:rsidR="00DE62FB" w:rsidRPr="007A1E33">
        <w:rPr>
          <w:color w:val="000000" w:themeColor="text1"/>
          <w:lang w:val="es-ES"/>
        </w:rPr>
        <w:t xml:space="preserve"> Incendio y Aliados</w:t>
      </w:r>
      <w:r w:rsidR="00EA418E" w:rsidRPr="007A1E33">
        <w:rPr>
          <w:color w:val="000000" w:themeColor="text1"/>
          <w:lang w:val="es-ES"/>
        </w:rPr>
        <w:t xml:space="preserve"> y Vehículo De Motor</w:t>
      </w:r>
      <w:r w:rsidRPr="007A1E33">
        <w:rPr>
          <w:color w:val="000000" w:themeColor="text1"/>
          <w:lang w:val="es-ES"/>
        </w:rPr>
        <w:t xml:space="preserve"> </w:t>
      </w:r>
      <w:r w:rsidR="0025647E" w:rsidRPr="007A1E33">
        <w:rPr>
          <w:color w:val="000000" w:themeColor="text1"/>
          <w:lang w:val="es-ES"/>
        </w:rPr>
        <w:t>2</w:t>
      </w:r>
      <w:r w:rsidR="007A1E33" w:rsidRPr="007A1E33">
        <w:rPr>
          <w:color w:val="000000" w:themeColor="text1"/>
          <w:lang w:val="es-ES"/>
        </w:rPr>
        <w:t>2</w:t>
      </w:r>
      <w:r w:rsidR="0025647E" w:rsidRPr="007A1E33">
        <w:rPr>
          <w:color w:val="000000" w:themeColor="text1"/>
          <w:lang w:val="es-ES"/>
        </w:rPr>
        <w:t>.</w:t>
      </w:r>
      <w:r w:rsidR="007A1E33" w:rsidRPr="007A1E33">
        <w:rPr>
          <w:color w:val="000000" w:themeColor="text1"/>
          <w:lang w:val="es-ES"/>
        </w:rPr>
        <w:t>5</w:t>
      </w:r>
      <w:r w:rsidRPr="007A1E33">
        <w:rPr>
          <w:color w:val="000000" w:themeColor="text1"/>
          <w:lang w:val="es-ES"/>
        </w:rPr>
        <w:t xml:space="preserve">% y </w:t>
      </w:r>
      <w:r w:rsidR="009E6E87" w:rsidRPr="007A1E33">
        <w:rPr>
          <w:color w:val="000000" w:themeColor="text1"/>
          <w:lang w:val="es-ES"/>
        </w:rPr>
        <w:t>2</w:t>
      </w:r>
      <w:r w:rsidR="007A1E33" w:rsidRPr="007A1E33">
        <w:rPr>
          <w:color w:val="000000" w:themeColor="text1"/>
          <w:lang w:val="es-ES"/>
        </w:rPr>
        <w:t>9</w:t>
      </w:r>
      <w:r w:rsidR="0068397E" w:rsidRPr="007A1E33">
        <w:rPr>
          <w:color w:val="000000" w:themeColor="text1"/>
          <w:lang w:val="es-ES"/>
        </w:rPr>
        <w:t>.</w:t>
      </w:r>
      <w:r w:rsidR="00E94208">
        <w:rPr>
          <w:color w:val="000000" w:themeColor="text1"/>
          <w:lang w:val="es-ES"/>
        </w:rPr>
        <w:t>7</w:t>
      </w:r>
      <w:r w:rsidRPr="007A1E33">
        <w:rPr>
          <w:color w:val="000000" w:themeColor="text1"/>
          <w:lang w:val="es-ES"/>
        </w:rPr>
        <w:t>%</w:t>
      </w:r>
      <w:r w:rsidR="00EA418E" w:rsidRPr="007A1E33">
        <w:rPr>
          <w:color w:val="000000" w:themeColor="text1"/>
          <w:lang w:val="es-ES"/>
        </w:rPr>
        <w:t xml:space="preserve"> y 2</w:t>
      </w:r>
      <w:r w:rsidR="007A1E33" w:rsidRPr="007A1E33">
        <w:rPr>
          <w:color w:val="000000" w:themeColor="text1"/>
          <w:lang w:val="es-ES"/>
        </w:rPr>
        <w:t>0</w:t>
      </w:r>
      <w:r w:rsidR="00EA418E" w:rsidRPr="007A1E33">
        <w:rPr>
          <w:color w:val="000000" w:themeColor="text1"/>
          <w:lang w:val="es-ES"/>
        </w:rPr>
        <w:t>. % de</w:t>
      </w:r>
      <w:r w:rsidRPr="007A1E33">
        <w:rPr>
          <w:color w:val="000000" w:themeColor="text1"/>
          <w:lang w:val="es-ES"/>
        </w:rPr>
        <w:t xml:space="preserve"> aporte al total de Primas Exoneradas de impuestos, cada uno.</w:t>
      </w:r>
    </w:p>
    <w:p w:rsidR="000B4A65" w:rsidRPr="00F40A43" w:rsidRDefault="000B4A65" w:rsidP="00F40A43">
      <w:pPr>
        <w:pStyle w:val="Heading2"/>
        <w:spacing w:before="0" w:after="240"/>
        <w:jc w:val="center"/>
        <w:rPr>
          <w:rFonts w:ascii="Times New Roman" w:hAnsi="Times New Roman" w:cs="Times New Roman"/>
          <w:color w:val="02377E"/>
          <w:lang w:val="es-ES"/>
        </w:rPr>
      </w:pPr>
      <w:r w:rsidRPr="00F40A43">
        <w:rPr>
          <w:rFonts w:ascii="Times New Roman" w:hAnsi="Times New Roman" w:cs="Times New Roman"/>
          <w:color w:val="02377E"/>
          <w:lang w:val="es-ES"/>
        </w:rPr>
        <w:t>PRIMERAS DIEZ COMPAÑIAS DEL MES</w:t>
      </w:r>
    </w:p>
    <w:p w:rsidR="000B4A65" w:rsidRDefault="004A00EB" w:rsidP="00F40A43">
      <w:pPr>
        <w:autoSpaceDE w:val="0"/>
        <w:autoSpaceDN w:val="0"/>
        <w:adjustRightInd w:val="0"/>
        <w:spacing w:after="240" w:line="276" w:lineRule="auto"/>
        <w:jc w:val="both"/>
        <w:rPr>
          <w:lang w:val="es-ES"/>
        </w:rPr>
      </w:pPr>
      <w:r w:rsidRPr="003D336F">
        <w:rPr>
          <w:lang w:val="es-ES"/>
        </w:rPr>
        <w:t>Cabe resaltar que</w:t>
      </w:r>
      <w:r w:rsidR="004415CB" w:rsidRPr="003D336F">
        <w:rPr>
          <w:lang w:val="es-ES"/>
        </w:rPr>
        <w:t>,</w:t>
      </w:r>
      <w:r w:rsidRPr="003D336F">
        <w:rPr>
          <w:lang w:val="es-ES"/>
        </w:rPr>
        <w:t xml:space="preserve"> en términos de volumen de primas la estructura competitiva del sector </w:t>
      </w:r>
      <w:r w:rsidR="004415CB" w:rsidRPr="003D336F">
        <w:rPr>
          <w:lang w:val="es-ES"/>
        </w:rPr>
        <w:t xml:space="preserve">asegurador </w:t>
      </w:r>
      <w:r w:rsidRPr="003D336F">
        <w:rPr>
          <w:lang w:val="es-ES"/>
        </w:rPr>
        <w:t xml:space="preserve">se caracteriza por una elevada concentración de </w:t>
      </w:r>
      <w:r w:rsidR="004415CB" w:rsidRPr="003D336F">
        <w:rPr>
          <w:lang w:val="es-ES"/>
        </w:rPr>
        <w:t>partícipes</w:t>
      </w:r>
      <w:r w:rsidRPr="003D336F">
        <w:rPr>
          <w:lang w:val="es-ES"/>
        </w:rPr>
        <w:t xml:space="preserve">, donde las primeras diez empresas aseguradoras cubren el </w:t>
      </w:r>
      <w:r w:rsidR="003D336F" w:rsidRPr="003D336F">
        <w:rPr>
          <w:lang w:val="es-ES"/>
        </w:rPr>
        <w:t>9</w:t>
      </w:r>
      <w:r w:rsidR="007A1E33">
        <w:rPr>
          <w:lang w:val="es-ES"/>
        </w:rPr>
        <w:t>1</w:t>
      </w:r>
      <w:r w:rsidR="00E726BB" w:rsidRPr="003D336F">
        <w:rPr>
          <w:lang w:val="es-ES"/>
        </w:rPr>
        <w:t>.</w:t>
      </w:r>
      <w:r w:rsidR="007A1E33">
        <w:rPr>
          <w:lang w:val="es-ES"/>
        </w:rPr>
        <w:t>0</w:t>
      </w:r>
      <w:r w:rsidRPr="003D336F">
        <w:rPr>
          <w:lang w:val="es-ES"/>
        </w:rPr>
        <w:t>% del total de las Primas Netas Cobradas.</w:t>
      </w:r>
    </w:p>
    <w:p w:rsidR="00FA72E6" w:rsidRDefault="00FA72E6" w:rsidP="00F40A43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LINK Excel.Sheet.12 "\\\\folder-compartido\\DireccionEstudios\\Rommel Svelti\\PNC\\PNC 2023\\03 - Marzo - 2025\\PNC Marzo 2025 - para carga.xlsx" "1eras 10 Compañías!F9C11:F21C15" \a \f 4 \h </w:instrText>
      </w:r>
      <w:r>
        <w:rPr>
          <w:lang w:val="es-ES"/>
        </w:rPr>
        <w:fldChar w:fldCharType="separate"/>
      </w:r>
    </w:p>
    <w:tbl>
      <w:tblPr>
        <w:tblW w:w="6646" w:type="dxa"/>
        <w:tblLook w:val="04A0" w:firstRow="1" w:lastRow="0" w:firstColumn="1" w:lastColumn="0" w:noHBand="0" w:noVBand="1"/>
      </w:tblPr>
      <w:tblGrid>
        <w:gridCol w:w="3556"/>
        <w:gridCol w:w="436"/>
        <w:gridCol w:w="1481"/>
        <w:gridCol w:w="436"/>
        <w:gridCol w:w="1481"/>
      </w:tblGrid>
      <w:tr w:rsidR="00FA72E6" w:rsidRPr="00FA72E6" w:rsidTr="00FA72E6">
        <w:trPr>
          <w:trHeight w:val="319"/>
        </w:trPr>
        <w:tc>
          <w:tcPr>
            <w:tcW w:w="35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2377E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 w:rsidRPr="00FA72E6">
              <w:rPr>
                <w:b/>
                <w:bCs/>
                <w:color w:val="FFFFFF"/>
                <w:sz w:val="22"/>
                <w:szCs w:val="20"/>
                <w:lang w:eastAsia="en-US"/>
              </w:rPr>
              <w:t>Compañías</w:t>
            </w:r>
          </w:p>
        </w:tc>
        <w:tc>
          <w:tcPr>
            <w:tcW w:w="3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2377E"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 w:rsidRPr="00FA72E6">
              <w:rPr>
                <w:b/>
                <w:bCs/>
                <w:color w:val="FFFFFF"/>
                <w:sz w:val="22"/>
                <w:szCs w:val="20"/>
                <w:lang w:eastAsia="en-US"/>
              </w:rPr>
              <w:t>Posicionamiento</w:t>
            </w:r>
          </w:p>
        </w:tc>
      </w:tr>
      <w:tr w:rsidR="00FA72E6" w:rsidRPr="00FA72E6" w:rsidTr="00FA72E6">
        <w:trPr>
          <w:trHeight w:val="319"/>
        </w:trPr>
        <w:tc>
          <w:tcPr>
            <w:tcW w:w="35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2E6" w:rsidRPr="00FA72E6" w:rsidRDefault="00FA72E6" w:rsidP="00FA72E6">
            <w:pPr>
              <w:rPr>
                <w:b/>
                <w:bCs/>
                <w:color w:val="FFFFFF"/>
                <w:sz w:val="22"/>
                <w:szCs w:val="22"/>
                <w:lang w:val="en-US" w:eastAsia="en-US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2377E"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 w:rsidRPr="00FA72E6">
              <w:rPr>
                <w:b/>
                <w:bCs/>
                <w:color w:val="FFFFFF"/>
                <w:sz w:val="22"/>
                <w:szCs w:val="20"/>
                <w:lang w:eastAsia="en-US"/>
              </w:rPr>
              <w:t>2024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2377E"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 w:rsidRPr="00FA72E6">
              <w:rPr>
                <w:b/>
                <w:bCs/>
                <w:color w:val="FFFFFF"/>
                <w:sz w:val="22"/>
                <w:szCs w:val="20"/>
                <w:lang w:eastAsia="en-US"/>
              </w:rPr>
              <w:t>2025</w:t>
            </w:r>
          </w:p>
        </w:tc>
      </w:tr>
      <w:tr w:rsidR="00FA72E6" w:rsidRPr="00FA72E6" w:rsidTr="00FA72E6">
        <w:trPr>
          <w:trHeight w:val="319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Seguros Universal, S. A.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2"/>
                <w:lang w:val="en-US" w:eastAsia="en-US"/>
              </w:rPr>
              <w:t>5,134,937,924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2"/>
                <w:lang w:val="en-US" w:eastAsia="en-US"/>
              </w:rPr>
              <w:t>6,941,798,939</w:t>
            </w:r>
          </w:p>
        </w:tc>
      </w:tr>
      <w:tr w:rsidR="00FA72E6" w:rsidRPr="00FA72E6" w:rsidTr="00FA72E6">
        <w:trPr>
          <w:trHeight w:val="319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Seguros Reservas, S. A.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2"/>
                <w:lang w:val="en-US" w:eastAsia="en-US"/>
              </w:rPr>
              <w:t>3,949,220,189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2"/>
                <w:lang w:val="en-US" w:eastAsia="en-US"/>
              </w:rPr>
              <w:t>6,265,659,586</w:t>
            </w:r>
          </w:p>
        </w:tc>
      </w:tr>
      <w:tr w:rsidR="00FA72E6" w:rsidRPr="00FA72E6" w:rsidTr="00FA72E6">
        <w:trPr>
          <w:trHeight w:val="319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Humano Seguros, S. A.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2"/>
                <w:lang w:val="en-US" w:eastAsia="en-US"/>
              </w:rPr>
              <w:t>4,201,427,671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2"/>
                <w:lang w:val="en-US" w:eastAsia="en-US"/>
              </w:rPr>
              <w:t>5,660,331,111</w:t>
            </w:r>
          </w:p>
        </w:tc>
      </w:tr>
      <w:tr w:rsidR="00FA72E6" w:rsidRPr="00FA72E6" w:rsidTr="00FA72E6">
        <w:trPr>
          <w:trHeight w:val="319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rPr>
                <w:sz w:val="22"/>
                <w:szCs w:val="22"/>
                <w:lang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Mapfre BHD Compañía de Seguros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2"/>
                <w:lang w:val="en-US" w:eastAsia="en-US"/>
              </w:rPr>
              <w:t>2,481,046,840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2"/>
                <w:lang w:val="en-US" w:eastAsia="en-US"/>
              </w:rPr>
              <w:t>3,621,299,977</w:t>
            </w:r>
          </w:p>
        </w:tc>
      </w:tr>
      <w:tr w:rsidR="00FA72E6" w:rsidRPr="00FA72E6" w:rsidTr="00FA72E6">
        <w:trPr>
          <w:trHeight w:val="319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rPr>
                <w:sz w:val="22"/>
                <w:szCs w:val="22"/>
                <w:lang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La Colonial, S.A Compañía De Seguros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2"/>
                <w:lang w:val="en-US" w:eastAsia="en-US"/>
              </w:rPr>
              <w:t>2,035,217,245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2"/>
                <w:lang w:val="en-US" w:eastAsia="en-US"/>
              </w:rPr>
              <w:t>2,987,524,777</w:t>
            </w:r>
          </w:p>
        </w:tc>
      </w:tr>
      <w:tr w:rsidR="00FA72E6" w:rsidRPr="00FA72E6" w:rsidTr="00FA72E6">
        <w:trPr>
          <w:trHeight w:val="319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Seguros Sura, S.A.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2"/>
                <w:lang w:val="en-US" w:eastAsia="en-US"/>
              </w:rPr>
              <w:t>2,068,833,495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2"/>
                <w:lang w:val="en-US" w:eastAsia="en-US"/>
              </w:rPr>
              <w:t>2,542,103,776</w:t>
            </w:r>
          </w:p>
        </w:tc>
      </w:tr>
      <w:tr w:rsidR="00FA72E6" w:rsidRPr="00FA72E6" w:rsidTr="00FA72E6">
        <w:trPr>
          <w:trHeight w:val="319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Seguros Crecer, S. A.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2"/>
                <w:lang w:val="en-US" w:eastAsia="en-US"/>
              </w:rPr>
              <w:t>943,781,294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2"/>
                <w:lang w:val="en-US" w:eastAsia="en-US"/>
              </w:rPr>
              <w:t>1,822,971,038</w:t>
            </w:r>
          </w:p>
        </w:tc>
      </w:tr>
      <w:tr w:rsidR="00FA72E6" w:rsidRPr="00FA72E6" w:rsidTr="00FA72E6">
        <w:trPr>
          <w:trHeight w:val="319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FA72E6">
              <w:rPr>
                <w:sz w:val="22"/>
                <w:szCs w:val="20"/>
                <w:lang w:eastAsia="en-US"/>
              </w:rPr>
              <w:t>Worldwide</w:t>
            </w:r>
            <w:proofErr w:type="spellEnd"/>
            <w:r w:rsidRPr="00FA72E6">
              <w:rPr>
                <w:sz w:val="22"/>
                <w:szCs w:val="20"/>
                <w:lang w:eastAsia="en-US"/>
              </w:rPr>
              <w:t xml:space="preserve"> Seguros, S. A.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2"/>
                <w:lang w:val="en-US" w:eastAsia="en-US"/>
              </w:rPr>
              <w:t>970,664,288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2"/>
                <w:lang w:val="en-US" w:eastAsia="en-US"/>
              </w:rPr>
              <w:t>1,146,096,776</w:t>
            </w:r>
          </w:p>
        </w:tc>
      </w:tr>
      <w:tr w:rsidR="00FA72E6" w:rsidRPr="00FA72E6" w:rsidTr="00FA72E6">
        <w:trPr>
          <w:trHeight w:val="319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rPr>
                <w:sz w:val="22"/>
                <w:szCs w:val="22"/>
                <w:lang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General de Seguros, S. A.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2"/>
                <w:lang w:val="en-US" w:eastAsia="en-US"/>
              </w:rPr>
              <w:t>490,990,576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2"/>
                <w:lang w:val="en-US" w:eastAsia="en-US"/>
              </w:rPr>
              <w:t>1,007,140,942</w:t>
            </w:r>
          </w:p>
        </w:tc>
      </w:tr>
      <w:tr w:rsidR="00FA72E6" w:rsidRPr="00FA72E6" w:rsidTr="00FA72E6">
        <w:trPr>
          <w:trHeight w:val="300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Seguros Pepín, S. A.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2"/>
                <w:lang w:val="en-US" w:eastAsia="en-US"/>
              </w:rPr>
              <w:t>412,513,758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A72E6" w:rsidRPr="00FA72E6" w:rsidRDefault="00FA72E6" w:rsidP="00FA72E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FA72E6">
              <w:rPr>
                <w:sz w:val="22"/>
                <w:szCs w:val="22"/>
                <w:lang w:val="en-US" w:eastAsia="en-US"/>
              </w:rPr>
              <w:t>547,240,192</w:t>
            </w:r>
          </w:p>
        </w:tc>
      </w:tr>
      <w:tr w:rsidR="00FA72E6" w:rsidRPr="00FA72E6" w:rsidTr="00FA72E6">
        <w:trPr>
          <w:trHeight w:val="255"/>
        </w:trPr>
        <w:tc>
          <w:tcPr>
            <w:tcW w:w="6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E6" w:rsidRPr="00FA72E6" w:rsidRDefault="00FA72E6" w:rsidP="00FA72E6">
            <w:pPr>
              <w:rPr>
                <w:b/>
                <w:bCs/>
                <w:sz w:val="14"/>
                <w:szCs w:val="14"/>
                <w:lang w:eastAsia="en-US"/>
              </w:rPr>
            </w:pPr>
            <w:r w:rsidRPr="00FA72E6">
              <w:rPr>
                <w:b/>
                <w:bCs/>
                <w:sz w:val="14"/>
                <w:szCs w:val="14"/>
                <w:lang w:eastAsia="en-US"/>
              </w:rPr>
              <w:t>Fuente: Superintendencia de Seguros, Dirección de Análisis Financiero y Estadísticas</w:t>
            </w:r>
          </w:p>
        </w:tc>
      </w:tr>
    </w:tbl>
    <w:p w:rsidR="00FA72E6" w:rsidRPr="003D336F" w:rsidRDefault="00FA72E6" w:rsidP="00F40A43">
      <w:pPr>
        <w:autoSpaceDE w:val="0"/>
        <w:autoSpaceDN w:val="0"/>
        <w:adjustRightInd w:val="0"/>
        <w:spacing w:after="240" w:line="276" w:lineRule="auto"/>
        <w:jc w:val="both"/>
        <w:rPr>
          <w:lang w:val="es-ES"/>
        </w:rPr>
      </w:pPr>
      <w:r>
        <w:rPr>
          <w:lang w:val="es-ES"/>
        </w:rPr>
        <w:fldChar w:fldCharType="end"/>
      </w:r>
    </w:p>
    <w:p w:rsidR="000B4A65" w:rsidRPr="00694BD8" w:rsidRDefault="00227A34" w:rsidP="00227A34">
      <w:pPr>
        <w:keepNext/>
        <w:keepLines/>
        <w:spacing w:line="259" w:lineRule="auto"/>
        <w:jc w:val="center"/>
        <w:rPr>
          <w:b/>
          <w:color w:val="02377E"/>
          <w:lang w:val="es-ES"/>
        </w:rPr>
      </w:pPr>
      <w:r w:rsidRPr="00694BD8">
        <w:rPr>
          <w:b/>
          <w:color w:val="02377E"/>
          <w:lang w:val="es-ES"/>
        </w:rPr>
        <w:lastRenderedPageBreak/>
        <w:t>República Dominicana: Principales</w:t>
      </w:r>
      <w:r w:rsidR="000B4A65" w:rsidRPr="00694BD8">
        <w:rPr>
          <w:b/>
          <w:color w:val="02377E"/>
          <w:lang w:val="es-ES"/>
        </w:rPr>
        <w:t xml:space="preserve"> 10 compañías </w:t>
      </w:r>
      <w:r w:rsidRPr="00694BD8">
        <w:rPr>
          <w:b/>
          <w:color w:val="02377E"/>
          <w:lang w:val="es-ES"/>
        </w:rPr>
        <w:t xml:space="preserve">aseguradoras según las primas netas cobradas, </w:t>
      </w:r>
      <w:r w:rsidR="007A1E33">
        <w:rPr>
          <w:b/>
          <w:color w:val="02377E"/>
          <w:lang w:val="es-ES"/>
        </w:rPr>
        <w:t>marzo</w:t>
      </w:r>
      <w:r w:rsidR="000B4A65" w:rsidRPr="00694BD8">
        <w:rPr>
          <w:b/>
          <w:color w:val="02377E"/>
          <w:lang w:val="es-ES"/>
        </w:rPr>
        <w:t xml:space="preserve"> 202</w:t>
      </w:r>
      <w:r w:rsidR="007A1E33">
        <w:rPr>
          <w:b/>
          <w:color w:val="02377E"/>
          <w:lang w:val="es-ES"/>
        </w:rPr>
        <w:t>5</w:t>
      </w:r>
    </w:p>
    <w:p w:rsidR="00227A34" w:rsidRPr="00694BD8" w:rsidRDefault="00227A34" w:rsidP="00227A34">
      <w:pPr>
        <w:keepNext/>
        <w:keepLines/>
        <w:spacing w:line="259" w:lineRule="auto"/>
        <w:jc w:val="center"/>
        <w:rPr>
          <w:b/>
          <w:color w:val="02377E"/>
          <w:sz w:val="20"/>
          <w:lang w:val="es-ES"/>
        </w:rPr>
      </w:pPr>
      <w:r w:rsidRPr="00694BD8">
        <w:rPr>
          <w:b/>
          <w:color w:val="02377E"/>
          <w:sz w:val="20"/>
          <w:lang w:val="es-ES"/>
        </w:rPr>
        <w:t>Valor en millones RD$</w:t>
      </w:r>
    </w:p>
    <w:p w:rsidR="00786392" w:rsidRDefault="00786392" w:rsidP="000B4A65">
      <w:pPr>
        <w:keepNext/>
        <w:keepLines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"\\\\folder-compartido\\DireccionEstudios\\Rommel Svelti\\PNC\\PNC 2023\\03 - Marzo - 2025\\PNC Marzo 2025 para carga.xlsx" "1eras 10 Compañías!F8C9:F21C13" \a \f 4 \h </w:instrText>
      </w:r>
      <w:r>
        <w:fldChar w:fldCharType="separate"/>
      </w:r>
    </w:p>
    <w:p w:rsidR="006A041E" w:rsidRDefault="00786392" w:rsidP="000B4A65">
      <w:pPr>
        <w:keepNext/>
        <w:keepLines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 w:rsidR="006A041E">
        <w:fldChar w:fldCharType="begin"/>
      </w:r>
      <w:r w:rsidR="006A041E">
        <w:instrText xml:space="preserve"> LINK Excel.Sheet.12 "C:\\Users\\Ycayo\\Downloads\\Primas Netas Cobradas Agosto 2024 (1).xlsx" "1eras 10 Compañías!R9C9:R21C13" \a \f 4 \h </w:instrText>
      </w:r>
      <w:r w:rsidR="006A041E">
        <w:fldChar w:fldCharType="separate"/>
      </w:r>
    </w:p>
    <w:p w:rsidR="0009026E" w:rsidRPr="000160CA" w:rsidRDefault="006A041E" w:rsidP="0029677A">
      <w:pPr>
        <w:keepNext/>
        <w:keepLines/>
        <w:spacing w:line="360" w:lineRule="auto"/>
        <w:jc w:val="both"/>
        <w:rPr>
          <w:lang w:val="es-ES"/>
        </w:rPr>
      </w:pPr>
      <w:r>
        <w:rPr>
          <w:rFonts w:ascii="Arial" w:hAnsi="Arial" w:cs="Arial"/>
          <w:sz w:val="14"/>
          <w:szCs w:val="14"/>
        </w:rPr>
        <w:fldChar w:fldCharType="end"/>
      </w:r>
      <w:r w:rsidR="00AE7D52" w:rsidRPr="00BF1914">
        <w:rPr>
          <w:lang w:val="es-ES"/>
        </w:rPr>
        <w:t xml:space="preserve">De </w:t>
      </w:r>
      <w:r w:rsidR="00794EE6" w:rsidRPr="00BF1914">
        <w:rPr>
          <w:lang w:val="es-ES"/>
        </w:rPr>
        <w:t>manera particular</w:t>
      </w:r>
      <w:r w:rsidR="00AE7D52" w:rsidRPr="00BF1914">
        <w:rPr>
          <w:lang w:val="es-ES"/>
        </w:rPr>
        <w:t xml:space="preserve">, se destaca el </w:t>
      </w:r>
      <w:r w:rsidR="00794EE6" w:rsidRPr="00BF1914">
        <w:rPr>
          <w:lang w:val="es-ES"/>
        </w:rPr>
        <w:t xml:space="preserve">desempeño que experimentaron las primeras diez compañías aseguradoras </w:t>
      </w:r>
      <w:r w:rsidR="00E46B60" w:rsidRPr="00BF1914">
        <w:rPr>
          <w:lang w:val="es-ES"/>
        </w:rPr>
        <w:t xml:space="preserve">con mayor volumen de primas, </w:t>
      </w:r>
      <w:r w:rsidR="008226F0" w:rsidRPr="00BF1914">
        <w:rPr>
          <w:lang w:val="es-ES"/>
        </w:rPr>
        <w:t>las cuales</w:t>
      </w:r>
      <w:r w:rsidR="00EF688C" w:rsidRPr="00BF1914">
        <w:rPr>
          <w:lang w:val="es-ES"/>
        </w:rPr>
        <w:t xml:space="preserve"> mantiene su </w:t>
      </w:r>
      <w:r w:rsidR="00DB715E" w:rsidRPr="00BF1914">
        <w:rPr>
          <w:lang w:val="es-ES"/>
        </w:rPr>
        <w:t>liderazgo</w:t>
      </w:r>
      <w:r w:rsidR="008226F0" w:rsidRPr="00BF1914">
        <w:rPr>
          <w:lang w:val="es-ES"/>
        </w:rPr>
        <w:t xml:space="preserve"> </w:t>
      </w:r>
      <w:r w:rsidR="00EF688C" w:rsidRPr="00BF1914">
        <w:rPr>
          <w:lang w:val="es-ES"/>
        </w:rPr>
        <w:t>respecto al mismo periodo del año 202</w:t>
      </w:r>
      <w:r w:rsidR="00786392">
        <w:rPr>
          <w:lang w:val="es-ES"/>
        </w:rPr>
        <w:t>4</w:t>
      </w:r>
      <w:r w:rsidR="00EF688C" w:rsidRPr="00BF1914">
        <w:rPr>
          <w:lang w:val="es-ES"/>
        </w:rPr>
        <w:t xml:space="preserve">, </w:t>
      </w:r>
      <w:r w:rsidR="00E46B60" w:rsidRPr="00BF1914">
        <w:rPr>
          <w:lang w:val="es-ES"/>
        </w:rPr>
        <w:t>estas</w:t>
      </w:r>
      <w:r w:rsidR="00EF688C" w:rsidRPr="00BF1914">
        <w:rPr>
          <w:lang w:val="es-ES"/>
        </w:rPr>
        <w:t xml:space="preserve"> </w:t>
      </w:r>
      <w:r w:rsidR="008226F0" w:rsidRPr="00BF1914">
        <w:rPr>
          <w:lang w:val="es-ES"/>
        </w:rPr>
        <w:t>fueron: en primer lugar,</w:t>
      </w:r>
      <w:r w:rsidR="008226F0" w:rsidRPr="0029677A">
        <w:rPr>
          <w:lang w:val="es-ES"/>
        </w:rPr>
        <w:t xml:space="preserve"> </w:t>
      </w:r>
      <w:r w:rsidR="008226F0" w:rsidRPr="000160CA">
        <w:rPr>
          <w:lang w:val="es-ES"/>
        </w:rPr>
        <w:t>Seguros Universal, S. A. registró un valor de RD$</w:t>
      </w:r>
      <w:r w:rsidR="00904E19">
        <w:rPr>
          <w:lang w:val="es-ES"/>
        </w:rPr>
        <w:t>2</w:t>
      </w:r>
      <w:r w:rsidR="00001FAE" w:rsidRPr="000160CA">
        <w:rPr>
          <w:lang w:val="es-ES"/>
        </w:rPr>
        <w:t>,</w:t>
      </w:r>
      <w:r w:rsidR="00904E19">
        <w:rPr>
          <w:lang w:val="es-ES"/>
        </w:rPr>
        <w:t>844</w:t>
      </w:r>
      <w:r w:rsidR="00001FAE" w:rsidRPr="000160CA">
        <w:rPr>
          <w:lang w:val="es-ES"/>
        </w:rPr>
        <w:t>.</w:t>
      </w:r>
      <w:r w:rsidR="00904E19">
        <w:rPr>
          <w:lang w:val="es-ES"/>
        </w:rPr>
        <w:t>4</w:t>
      </w:r>
      <w:r w:rsidR="008226F0" w:rsidRPr="000160CA">
        <w:rPr>
          <w:lang w:val="es-ES"/>
        </w:rPr>
        <w:t xml:space="preserve"> millones en PNC, </w:t>
      </w:r>
      <w:r w:rsidR="00DB715E" w:rsidRPr="000160CA">
        <w:rPr>
          <w:lang w:val="es-ES"/>
        </w:rPr>
        <w:t xml:space="preserve">para </w:t>
      </w:r>
      <w:r w:rsidR="00694BD8" w:rsidRPr="000160CA">
        <w:rPr>
          <w:lang w:val="es-ES"/>
        </w:rPr>
        <w:t>aumento</w:t>
      </w:r>
      <w:r w:rsidR="00EF688C" w:rsidRPr="000160CA">
        <w:rPr>
          <w:lang w:val="es-ES"/>
        </w:rPr>
        <w:t xml:space="preserve"> </w:t>
      </w:r>
      <w:r w:rsidR="008226F0" w:rsidRPr="000160CA">
        <w:rPr>
          <w:lang w:val="es-ES"/>
        </w:rPr>
        <w:t>de RD$</w:t>
      </w:r>
      <w:r w:rsidR="00696FF1">
        <w:rPr>
          <w:lang w:val="es-ES"/>
        </w:rPr>
        <w:t>1</w:t>
      </w:r>
      <w:r w:rsidR="003408B0" w:rsidRPr="000160CA">
        <w:rPr>
          <w:lang w:val="es-ES"/>
        </w:rPr>
        <w:t>,</w:t>
      </w:r>
      <w:r w:rsidR="00696FF1">
        <w:rPr>
          <w:lang w:val="es-ES"/>
        </w:rPr>
        <w:t>12</w:t>
      </w:r>
      <w:r w:rsidR="00904E19">
        <w:rPr>
          <w:lang w:val="es-ES"/>
        </w:rPr>
        <w:t>7</w:t>
      </w:r>
      <w:r w:rsidR="00A11285" w:rsidRPr="000160CA">
        <w:rPr>
          <w:lang w:val="es-ES"/>
        </w:rPr>
        <w:t>.</w:t>
      </w:r>
      <w:r w:rsidR="00904E19">
        <w:rPr>
          <w:lang w:val="es-ES"/>
        </w:rPr>
        <w:t>0</w:t>
      </w:r>
      <w:r w:rsidR="00EF688C" w:rsidRPr="000160CA">
        <w:rPr>
          <w:lang w:val="es-ES"/>
        </w:rPr>
        <w:t xml:space="preserve"> millones</w:t>
      </w:r>
      <w:r w:rsidR="008226F0" w:rsidRPr="000160CA">
        <w:rPr>
          <w:lang w:val="es-ES"/>
        </w:rPr>
        <w:t xml:space="preserve"> (</w:t>
      </w:r>
      <w:r w:rsidR="00696FF1">
        <w:rPr>
          <w:lang w:val="es-ES"/>
        </w:rPr>
        <w:t>65.</w:t>
      </w:r>
      <w:r w:rsidR="00904E19">
        <w:rPr>
          <w:lang w:val="es-ES"/>
        </w:rPr>
        <w:t>6</w:t>
      </w:r>
      <w:r w:rsidR="008226F0" w:rsidRPr="000160CA">
        <w:rPr>
          <w:lang w:val="es-ES"/>
        </w:rPr>
        <w:t xml:space="preserve">%) </w:t>
      </w:r>
      <w:r w:rsidR="00DB715E" w:rsidRPr="000160CA">
        <w:rPr>
          <w:lang w:val="es-ES"/>
        </w:rPr>
        <w:t>con relación</w:t>
      </w:r>
      <w:r w:rsidR="008226F0" w:rsidRPr="000160CA">
        <w:rPr>
          <w:lang w:val="es-ES"/>
        </w:rPr>
        <w:t xml:space="preserve"> a</w:t>
      </w:r>
      <w:r w:rsidR="00DB715E" w:rsidRPr="000160CA">
        <w:rPr>
          <w:lang w:val="es-ES"/>
        </w:rPr>
        <w:t>l mismo</w:t>
      </w:r>
      <w:r w:rsidR="004D3A77" w:rsidRPr="000160CA">
        <w:rPr>
          <w:lang w:val="es-ES"/>
        </w:rPr>
        <w:t xml:space="preserve"> periodo</w:t>
      </w:r>
      <w:r w:rsidR="00DB715E" w:rsidRPr="000160CA">
        <w:rPr>
          <w:lang w:val="es-ES"/>
        </w:rPr>
        <w:t xml:space="preserve"> </w:t>
      </w:r>
      <w:r w:rsidR="00EF688C" w:rsidRPr="000160CA">
        <w:rPr>
          <w:lang w:val="es-ES"/>
        </w:rPr>
        <w:t xml:space="preserve">del año </w:t>
      </w:r>
      <w:r w:rsidR="008226F0" w:rsidRPr="000160CA">
        <w:rPr>
          <w:lang w:val="es-ES"/>
        </w:rPr>
        <w:t xml:space="preserve">anterior, en términos de </w:t>
      </w:r>
      <w:r w:rsidR="00077047" w:rsidRPr="000160CA">
        <w:rPr>
          <w:lang w:val="es-ES"/>
        </w:rPr>
        <w:t>participación</w:t>
      </w:r>
      <w:r w:rsidR="008226F0" w:rsidRPr="000160CA">
        <w:rPr>
          <w:lang w:val="es-ES"/>
        </w:rPr>
        <w:t xml:space="preserve"> est</w:t>
      </w:r>
      <w:r w:rsidR="00077047" w:rsidRPr="000160CA">
        <w:rPr>
          <w:lang w:val="es-ES"/>
        </w:rPr>
        <w:t xml:space="preserve">a representó el </w:t>
      </w:r>
      <w:r w:rsidR="000160CA" w:rsidRPr="000160CA">
        <w:rPr>
          <w:lang w:val="es-ES"/>
        </w:rPr>
        <w:t>2</w:t>
      </w:r>
      <w:r w:rsidR="00696FF1">
        <w:rPr>
          <w:lang w:val="es-ES"/>
        </w:rPr>
        <w:t>0</w:t>
      </w:r>
      <w:r w:rsidR="000160CA" w:rsidRPr="000160CA">
        <w:rPr>
          <w:lang w:val="es-ES"/>
        </w:rPr>
        <w:t>.</w:t>
      </w:r>
      <w:r w:rsidR="00696FF1">
        <w:rPr>
          <w:lang w:val="es-ES"/>
        </w:rPr>
        <w:t>9</w:t>
      </w:r>
      <w:r w:rsidR="008226F0" w:rsidRPr="000160CA">
        <w:rPr>
          <w:lang w:val="es-ES"/>
        </w:rPr>
        <w:t>% del total de las PNC;</w:t>
      </w:r>
      <w:r w:rsidR="008226F0" w:rsidRPr="0029677A">
        <w:rPr>
          <w:lang w:val="es-ES"/>
        </w:rPr>
        <w:t xml:space="preserve"> </w:t>
      </w:r>
      <w:r w:rsidR="00AD7BD7" w:rsidRPr="000160CA">
        <w:rPr>
          <w:lang w:val="es-ES"/>
        </w:rPr>
        <w:t>Seguros Reservas</w:t>
      </w:r>
      <w:r w:rsidR="008226F0" w:rsidRPr="000160CA">
        <w:rPr>
          <w:lang w:val="es-ES"/>
        </w:rPr>
        <w:t>, S. A., ocupa</w:t>
      </w:r>
      <w:r w:rsidR="00077047" w:rsidRPr="000160CA">
        <w:rPr>
          <w:lang w:val="es-ES"/>
        </w:rPr>
        <w:t>ndo</w:t>
      </w:r>
      <w:r w:rsidR="008226F0" w:rsidRPr="000160CA">
        <w:rPr>
          <w:lang w:val="es-ES"/>
        </w:rPr>
        <w:t xml:space="preserve"> </w:t>
      </w:r>
      <w:r w:rsidR="00077047" w:rsidRPr="000160CA">
        <w:rPr>
          <w:lang w:val="es-ES"/>
        </w:rPr>
        <w:t>la segunda posición</w:t>
      </w:r>
      <w:r w:rsidR="008226F0" w:rsidRPr="000160CA">
        <w:rPr>
          <w:lang w:val="es-ES"/>
        </w:rPr>
        <w:t xml:space="preserve"> con un</w:t>
      </w:r>
      <w:r w:rsidR="00EF688C" w:rsidRPr="000160CA">
        <w:rPr>
          <w:lang w:val="es-ES"/>
        </w:rPr>
        <w:t>a suma</w:t>
      </w:r>
      <w:r w:rsidR="008226F0" w:rsidRPr="000160CA">
        <w:rPr>
          <w:lang w:val="es-ES"/>
        </w:rPr>
        <w:t xml:space="preserve"> de RD$</w:t>
      </w:r>
      <w:r w:rsidR="00696FF1">
        <w:rPr>
          <w:lang w:val="es-ES"/>
        </w:rPr>
        <w:t>2</w:t>
      </w:r>
      <w:r w:rsidR="00077047" w:rsidRPr="000160CA">
        <w:rPr>
          <w:lang w:val="es-ES"/>
        </w:rPr>
        <w:t>,</w:t>
      </w:r>
      <w:r w:rsidR="00696FF1">
        <w:rPr>
          <w:lang w:val="es-ES"/>
        </w:rPr>
        <w:t>249</w:t>
      </w:r>
      <w:r w:rsidR="000E4EDB" w:rsidRPr="000160CA">
        <w:rPr>
          <w:lang w:val="es-ES"/>
        </w:rPr>
        <w:t>.</w:t>
      </w:r>
      <w:r w:rsidR="000160CA" w:rsidRPr="000160CA">
        <w:rPr>
          <w:lang w:val="es-ES"/>
        </w:rPr>
        <w:t>2</w:t>
      </w:r>
      <w:r w:rsidR="000E4EDB" w:rsidRPr="000160CA">
        <w:rPr>
          <w:lang w:val="es-ES"/>
        </w:rPr>
        <w:t xml:space="preserve"> </w:t>
      </w:r>
      <w:r w:rsidR="008226F0" w:rsidRPr="000160CA">
        <w:rPr>
          <w:lang w:val="es-ES"/>
        </w:rPr>
        <w:t xml:space="preserve">millones, para una variación </w:t>
      </w:r>
      <w:r w:rsidR="0067476C" w:rsidRPr="000160CA">
        <w:rPr>
          <w:lang w:val="es-ES"/>
        </w:rPr>
        <w:t xml:space="preserve">interanual </w:t>
      </w:r>
      <w:r w:rsidR="008226F0" w:rsidRPr="000160CA">
        <w:rPr>
          <w:lang w:val="es-ES"/>
        </w:rPr>
        <w:t>de RD$</w:t>
      </w:r>
      <w:r w:rsidR="00696FF1">
        <w:rPr>
          <w:lang w:val="es-ES"/>
        </w:rPr>
        <w:t>688</w:t>
      </w:r>
      <w:r w:rsidR="000E4EDB" w:rsidRPr="000160CA">
        <w:rPr>
          <w:lang w:val="es-ES"/>
        </w:rPr>
        <w:t>,</w:t>
      </w:r>
      <w:r w:rsidR="00696FF1">
        <w:rPr>
          <w:lang w:val="es-ES"/>
        </w:rPr>
        <w:t>0</w:t>
      </w:r>
      <w:r w:rsidR="000160CA" w:rsidRPr="000160CA">
        <w:rPr>
          <w:lang w:val="es-ES"/>
        </w:rPr>
        <w:t xml:space="preserve"> </w:t>
      </w:r>
      <w:r w:rsidR="008226F0" w:rsidRPr="000160CA">
        <w:rPr>
          <w:lang w:val="es-ES"/>
        </w:rPr>
        <w:t>millones</w:t>
      </w:r>
      <w:r w:rsidR="00B0082A">
        <w:rPr>
          <w:lang w:val="es-ES"/>
        </w:rPr>
        <w:t xml:space="preserve"> (44.1%)</w:t>
      </w:r>
      <w:r w:rsidR="008226F0" w:rsidRPr="000160CA">
        <w:rPr>
          <w:lang w:val="es-ES"/>
        </w:rPr>
        <w:t xml:space="preserve">, </w:t>
      </w:r>
      <w:r w:rsidR="00694BD8" w:rsidRPr="000160CA">
        <w:rPr>
          <w:lang w:val="es-ES"/>
        </w:rPr>
        <w:t>con una participación</w:t>
      </w:r>
      <w:r w:rsidR="00077047" w:rsidRPr="000160CA">
        <w:rPr>
          <w:lang w:val="es-ES"/>
        </w:rPr>
        <w:t xml:space="preserve"> de</w:t>
      </w:r>
      <w:r w:rsidR="00EF688C" w:rsidRPr="000160CA">
        <w:rPr>
          <w:lang w:val="es-ES"/>
        </w:rPr>
        <w:t xml:space="preserve"> </w:t>
      </w:r>
      <w:r w:rsidR="00696FF1">
        <w:rPr>
          <w:lang w:val="es-ES"/>
        </w:rPr>
        <w:t>16.5</w:t>
      </w:r>
      <w:r w:rsidR="008226F0" w:rsidRPr="000160CA">
        <w:rPr>
          <w:lang w:val="es-ES"/>
        </w:rPr>
        <w:t xml:space="preserve">%, </w:t>
      </w:r>
      <w:r w:rsidR="00077047" w:rsidRPr="000160CA">
        <w:rPr>
          <w:lang w:val="es-ES"/>
        </w:rPr>
        <w:t>sobre el</w:t>
      </w:r>
      <w:r w:rsidR="008226F0" w:rsidRPr="000160CA">
        <w:rPr>
          <w:lang w:val="es-ES"/>
        </w:rPr>
        <w:t xml:space="preserve"> total de las PNC.</w:t>
      </w:r>
      <w:r w:rsidR="008226F0" w:rsidRPr="0029677A">
        <w:rPr>
          <w:lang w:val="es-ES"/>
        </w:rPr>
        <w:t xml:space="preserve"> </w:t>
      </w:r>
      <w:r w:rsidR="008226F0" w:rsidRPr="000160CA">
        <w:rPr>
          <w:lang w:val="es-ES"/>
        </w:rPr>
        <w:t xml:space="preserve">En la tercera posición se encuentra </w:t>
      </w:r>
      <w:r w:rsidR="00AD7BD7" w:rsidRPr="000160CA">
        <w:rPr>
          <w:lang w:val="es-ES"/>
        </w:rPr>
        <w:t>Humano Seguros</w:t>
      </w:r>
      <w:r w:rsidR="00EF688C" w:rsidRPr="000160CA">
        <w:rPr>
          <w:lang w:val="es-ES"/>
        </w:rPr>
        <w:t>, S. A.,</w:t>
      </w:r>
      <w:r w:rsidR="008226F0" w:rsidRPr="000160CA">
        <w:rPr>
          <w:lang w:val="es-ES"/>
        </w:rPr>
        <w:t xml:space="preserve"> la cual registró un importe de RD$</w:t>
      </w:r>
      <w:r w:rsidR="00A37855" w:rsidRPr="000160CA">
        <w:rPr>
          <w:lang w:val="es-ES"/>
        </w:rPr>
        <w:t>1</w:t>
      </w:r>
      <w:r w:rsidR="00694BD8" w:rsidRPr="000160CA">
        <w:rPr>
          <w:lang w:val="es-ES"/>
        </w:rPr>
        <w:t>,</w:t>
      </w:r>
      <w:r w:rsidR="00696FF1">
        <w:rPr>
          <w:lang w:val="es-ES"/>
        </w:rPr>
        <w:t>901</w:t>
      </w:r>
      <w:r w:rsidR="00A37855" w:rsidRPr="000160CA">
        <w:rPr>
          <w:lang w:val="es-ES"/>
        </w:rPr>
        <w:t>.</w:t>
      </w:r>
      <w:r w:rsidR="00696FF1">
        <w:rPr>
          <w:lang w:val="es-ES"/>
        </w:rPr>
        <w:t>5</w:t>
      </w:r>
      <w:r w:rsidR="008226F0" w:rsidRPr="000160CA">
        <w:rPr>
          <w:lang w:val="es-ES"/>
        </w:rPr>
        <w:t xml:space="preserve"> millones, al registrar un crecimiento absoluto</w:t>
      </w:r>
      <w:r w:rsidR="00EF688C" w:rsidRPr="000160CA">
        <w:rPr>
          <w:lang w:val="es-ES"/>
        </w:rPr>
        <w:t xml:space="preserve"> </w:t>
      </w:r>
      <w:r w:rsidR="008226F0" w:rsidRPr="000160CA">
        <w:rPr>
          <w:lang w:val="es-ES"/>
        </w:rPr>
        <w:t>de</w:t>
      </w:r>
      <w:r w:rsidR="00EF688C" w:rsidRPr="000160CA">
        <w:rPr>
          <w:lang w:val="es-ES"/>
        </w:rPr>
        <w:t xml:space="preserve"> RD$</w:t>
      </w:r>
      <w:r w:rsidR="00696FF1">
        <w:rPr>
          <w:lang w:val="es-ES"/>
        </w:rPr>
        <w:t>347</w:t>
      </w:r>
      <w:r w:rsidR="000160CA" w:rsidRPr="000160CA">
        <w:rPr>
          <w:lang w:val="es-ES"/>
        </w:rPr>
        <w:t>,</w:t>
      </w:r>
      <w:r w:rsidR="00696FF1">
        <w:rPr>
          <w:lang w:val="es-ES"/>
        </w:rPr>
        <w:t>9</w:t>
      </w:r>
      <w:r w:rsidR="00A37855" w:rsidRPr="000160CA">
        <w:rPr>
          <w:lang w:val="es-ES"/>
        </w:rPr>
        <w:t xml:space="preserve"> </w:t>
      </w:r>
      <w:r w:rsidR="00EF688C" w:rsidRPr="000160CA">
        <w:rPr>
          <w:lang w:val="es-ES"/>
        </w:rPr>
        <w:t>millones</w:t>
      </w:r>
      <w:r w:rsidR="0067476C" w:rsidRPr="000160CA">
        <w:rPr>
          <w:lang w:val="es-ES"/>
        </w:rPr>
        <w:t>, equivalente a un</w:t>
      </w:r>
      <w:r w:rsidR="008226F0" w:rsidRPr="000160CA">
        <w:rPr>
          <w:lang w:val="es-ES"/>
        </w:rPr>
        <w:t xml:space="preserve"> </w:t>
      </w:r>
      <w:r w:rsidR="00696FF1">
        <w:rPr>
          <w:lang w:val="es-ES"/>
        </w:rPr>
        <w:t>22.4</w:t>
      </w:r>
      <w:r w:rsidR="008226F0" w:rsidRPr="000160CA">
        <w:rPr>
          <w:lang w:val="es-ES"/>
        </w:rPr>
        <w:t xml:space="preserve">% con </w:t>
      </w:r>
      <w:r w:rsidR="00636942" w:rsidRPr="000160CA">
        <w:rPr>
          <w:lang w:val="es-ES"/>
        </w:rPr>
        <w:t>relación</w:t>
      </w:r>
      <w:r w:rsidR="008226F0" w:rsidRPr="000160CA">
        <w:rPr>
          <w:lang w:val="es-ES"/>
        </w:rPr>
        <w:t xml:space="preserve"> a</w:t>
      </w:r>
      <w:r w:rsidR="00A37855" w:rsidRPr="000160CA">
        <w:rPr>
          <w:lang w:val="es-ES"/>
        </w:rPr>
        <w:t xml:space="preserve">l mes de </w:t>
      </w:r>
      <w:r w:rsidR="00696FF1">
        <w:rPr>
          <w:lang w:val="es-ES"/>
        </w:rPr>
        <w:t>marzo</w:t>
      </w:r>
      <w:r w:rsidR="008226F0" w:rsidRPr="000160CA">
        <w:rPr>
          <w:lang w:val="es-ES"/>
        </w:rPr>
        <w:t xml:space="preserve"> 202</w:t>
      </w:r>
      <w:r w:rsidR="00696FF1">
        <w:rPr>
          <w:lang w:val="es-ES"/>
        </w:rPr>
        <w:t>4</w:t>
      </w:r>
      <w:r w:rsidR="008226F0" w:rsidRPr="000160CA">
        <w:rPr>
          <w:lang w:val="es-ES"/>
        </w:rPr>
        <w:t xml:space="preserve"> </w:t>
      </w:r>
      <w:r w:rsidR="00A37855" w:rsidRPr="000160CA">
        <w:rPr>
          <w:lang w:val="es-ES"/>
        </w:rPr>
        <w:t>que</w:t>
      </w:r>
      <w:r w:rsidR="008226F0" w:rsidRPr="000160CA">
        <w:rPr>
          <w:lang w:val="es-ES"/>
        </w:rPr>
        <w:t>, a su vez</w:t>
      </w:r>
      <w:r w:rsidR="004415CB" w:rsidRPr="000160CA">
        <w:rPr>
          <w:lang w:val="es-ES"/>
        </w:rPr>
        <w:t>,</w:t>
      </w:r>
      <w:r w:rsidR="008226F0" w:rsidRPr="000160CA">
        <w:rPr>
          <w:lang w:val="es-ES"/>
        </w:rPr>
        <w:t xml:space="preserve"> representó un </w:t>
      </w:r>
      <w:r w:rsidR="00694BD8" w:rsidRPr="000160CA">
        <w:rPr>
          <w:lang w:val="es-ES"/>
        </w:rPr>
        <w:t>1</w:t>
      </w:r>
      <w:r w:rsidR="00696FF1">
        <w:rPr>
          <w:lang w:val="es-ES"/>
        </w:rPr>
        <w:t>4</w:t>
      </w:r>
      <w:r w:rsidR="00694BD8" w:rsidRPr="000160CA">
        <w:rPr>
          <w:lang w:val="es-ES"/>
        </w:rPr>
        <w:t>.</w:t>
      </w:r>
      <w:r w:rsidR="000160CA" w:rsidRPr="000160CA">
        <w:rPr>
          <w:lang w:val="es-ES"/>
        </w:rPr>
        <w:t>0</w:t>
      </w:r>
      <w:r w:rsidR="008226F0" w:rsidRPr="000160CA">
        <w:rPr>
          <w:lang w:val="es-ES"/>
        </w:rPr>
        <w:t xml:space="preserve">% del </w:t>
      </w:r>
      <w:r w:rsidR="00636942" w:rsidRPr="000160CA">
        <w:rPr>
          <w:lang w:val="es-ES"/>
        </w:rPr>
        <w:t xml:space="preserve">total de las </w:t>
      </w:r>
      <w:r w:rsidR="008226F0" w:rsidRPr="000160CA">
        <w:rPr>
          <w:lang w:val="es-ES"/>
        </w:rPr>
        <w:t>PNC</w:t>
      </w:r>
      <w:r w:rsidR="00636942" w:rsidRPr="000160CA">
        <w:rPr>
          <w:lang w:val="es-ES"/>
        </w:rPr>
        <w:t xml:space="preserve"> del mercado.</w:t>
      </w:r>
    </w:p>
    <w:p w:rsidR="00527911" w:rsidRPr="003D336F" w:rsidRDefault="00527911" w:rsidP="00F40A43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</w:p>
    <w:p w:rsidR="000B4A65" w:rsidRPr="00D34811" w:rsidRDefault="00B9488F" w:rsidP="00F40A43">
      <w:pPr>
        <w:autoSpaceDE w:val="0"/>
        <w:autoSpaceDN w:val="0"/>
        <w:adjustRightInd w:val="0"/>
        <w:spacing w:line="276" w:lineRule="auto"/>
        <w:jc w:val="both"/>
        <w:rPr>
          <w:lang w:val="es-ES"/>
        </w:rPr>
      </w:pPr>
      <w:r w:rsidRPr="00D34811">
        <w:rPr>
          <w:lang w:val="es-ES"/>
        </w:rPr>
        <w:t xml:space="preserve">En otro orden, </w:t>
      </w:r>
      <w:r w:rsidR="00CE126C" w:rsidRPr="00D34811">
        <w:rPr>
          <w:lang w:val="es-ES"/>
        </w:rPr>
        <w:t>los ramos</w:t>
      </w:r>
      <w:r w:rsidR="00B375A3" w:rsidRPr="00D34811">
        <w:rPr>
          <w:lang w:val="es-ES"/>
        </w:rPr>
        <w:t xml:space="preserve"> que concentran</w:t>
      </w:r>
      <w:r w:rsidR="00CE126C" w:rsidRPr="00D34811">
        <w:rPr>
          <w:lang w:val="es-ES"/>
        </w:rPr>
        <w:t xml:space="preserve"> </w:t>
      </w:r>
      <w:r w:rsidR="00B375A3" w:rsidRPr="00D34811">
        <w:rPr>
          <w:lang w:val="es-ES"/>
        </w:rPr>
        <w:t>la</w:t>
      </w:r>
      <w:r w:rsidR="00CE126C" w:rsidRPr="00D34811">
        <w:rPr>
          <w:lang w:val="es-ES"/>
        </w:rPr>
        <w:t xml:space="preserve"> mayor ponderación sobre la base de Primas Netas Cobradas </w:t>
      </w:r>
      <w:r w:rsidR="006F38E2" w:rsidRPr="00D34811">
        <w:rPr>
          <w:lang w:val="es-ES"/>
        </w:rPr>
        <w:t>fueron:</w:t>
      </w:r>
      <w:r w:rsidR="006F38E2">
        <w:rPr>
          <w:lang w:val="es-ES"/>
        </w:rPr>
        <w:t xml:space="preserve"> Salud</w:t>
      </w:r>
      <w:r w:rsidR="0089000D" w:rsidRPr="00D34811">
        <w:rPr>
          <w:lang w:val="es-ES"/>
        </w:rPr>
        <w:t xml:space="preserve"> (RD$</w:t>
      </w:r>
      <w:r w:rsidR="00B0082A">
        <w:rPr>
          <w:lang w:val="es-ES"/>
        </w:rPr>
        <w:t>3</w:t>
      </w:r>
      <w:r w:rsidR="0067476C" w:rsidRPr="00D34811">
        <w:rPr>
          <w:lang w:val="es-ES"/>
        </w:rPr>
        <w:t>,</w:t>
      </w:r>
      <w:r w:rsidR="00B0082A">
        <w:rPr>
          <w:lang w:val="es-ES"/>
        </w:rPr>
        <w:t>068</w:t>
      </w:r>
      <w:r w:rsidR="00CE4A4F" w:rsidRPr="00D34811">
        <w:rPr>
          <w:lang w:val="es-ES"/>
        </w:rPr>
        <w:t>.</w:t>
      </w:r>
      <w:r w:rsidR="00D34811" w:rsidRPr="00D34811">
        <w:rPr>
          <w:lang w:val="es-ES"/>
        </w:rPr>
        <w:t>0</w:t>
      </w:r>
      <w:r w:rsidR="006F38E2">
        <w:rPr>
          <w:lang w:val="es-ES"/>
        </w:rPr>
        <w:t xml:space="preserve"> </w:t>
      </w:r>
      <w:r w:rsidR="0089000D" w:rsidRPr="00D34811">
        <w:rPr>
          <w:lang w:val="es-ES"/>
        </w:rPr>
        <w:t>millones, 2</w:t>
      </w:r>
      <w:r w:rsidR="00B0082A">
        <w:rPr>
          <w:lang w:val="es-ES"/>
        </w:rPr>
        <w:t>2</w:t>
      </w:r>
      <w:r w:rsidR="0067476C" w:rsidRPr="00D34811">
        <w:rPr>
          <w:lang w:val="es-ES"/>
        </w:rPr>
        <w:t>.</w:t>
      </w:r>
      <w:r w:rsidR="00B0082A">
        <w:rPr>
          <w:lang w:val="es-ES"/>
        </w:rPr>
        <w:t>5</w:t>
      </w:r>
      <w:r w:rsidR="0089000D" w:rsidRPr="00D34811">
        <w:rPr>
          <w:lang w:val="es-ES"/>
        </w:rPr>
        <w:t xml:space="preserve">%), </w:t>
      </w:r>
      <w:r w:rsidR="00B0082A">
        <w:rPr>
          <w:lang w:val="es-ES"/>
        </w:rPr>
        <w:t xml:space="preserve">incendio y </w:t>
      </w:r>
      <w:r w:rsidR="006F38E2">
        <w:rPr>
          <w:lang w:val="es-ES"/>
        </w:rPr>
        <w:t>aliados</w:t>
      </w:r>
      <w:r w:rsidR="006F38E2" w:rsidRPr="00D34811">
        <w:rPr>
          <w:lang w:val="es-ES"/>
        </w:rPr>
        <w:t xml:space="preserve"> (</w:t>
      </w:r>
      <w:r w:rsidR="0089000D" w:rsidRPr="00D34811">
        <w:rPr>
          <w:lang w:val="es-ES"/>
        </w:rPr>
        <w:t>RD$</w:t>
      </w:r>
      <w:r w:rsidR="00B0082A">
        <w:rPr>
          <w:lang w:val="es-ES"/>
        </w:rPr>
        <w:t>4</w:t>
      </w:r>
      <w:r w:rsidR="00E22DEB" w:rsidRPr="00D34811">
        <w:rPr>
          <w:lang w:val="es-ES"/>
        </w:rPr>
        <w:t>,</w:t>
      </w:r>
      <w:r w:rsidR="00B0082A">
        <w:rPr>
          <w:lang w:val="es-ES"/>
        </w:rPr>
        <w:t>052</w:t>
      </w:r>
      <w:r w:rsidR="00E22DEB" w:rsidRPr="00D34811">
        <w:rPr>
          <w:lang w:val="es-ES"/>
        </w:rPr>
        <w:t>.</w:t>
      </w:r>
      <w:r w:rsidR="00B0082A">
        <w:rPr>
          <w:lang w:val="es-ES"/>
        </w:rPr>
        <w:t>5</w:t>
      </w:r>
      <w:r w:rsidR="0089000D" w:rsidRPr="00D34811">
        <w:rPr>
          <w:lang w:val="es-ES"/>
        </w:rPr>
        <w:t xml:space="preserve"> millones,</w:t>
      </w:r>
      <w:r w:rsidR="00B0082A">
        <w:rPr>
          <w:lang w:val="es-ES"/>
        </w:rPr>
        <w:t xml:space="preserve"> 29.8</w:t>
      </w:r>
      <w:r w:rsidR="006F38E2">
        <w:rPr>
          <w:lang w:val="es-ES"/>
        </w:rPr>
        <w:t xml:space="preserve">%, </w:t>
      </w:r>
      <w:r w:rsidR="006F38E2" w:rsidRPr="00D34811">
        <w:rPr>
          <w:lang w:val="es-ES"/>
        </w:rPr>
        <w:t>vehículo</w:t>
      </w:r>
      <w:r w:rsidR="00B0082A">
        <w:rPr>
          <w:lang w:val="es-ES"/>
        </w:rPr>
        <w:t xml:space="preserve"> de motor 2,834</w:t>
      </w:r>
      <w:r w:rsidR="0067476C" w:rsidRPr="00D34811">
        <w:rPr>
          <w:lang w:val="es-ES"/>
        </w:rPr>
        <w:t>.</w:t>
      </w:r>
      <w:r w:rsidR="00B0082A">
        <w:rPr>
          <w:lang w:val="es-ES"/>
        </w:rPr>
        <w:t>5</w:t>
      </w:r>
      <w:r w:rsidR="006F38E2">
        <w:rPr>
          <w:lang w:val="es-ES"/>
        </w:rPr>
        <w:t xml:space="preserve"> millones 2</w:t>
      </w:r>
      <w:r w:rsidR="00904E19">
        <w:rPr>
          <w:lang w:val="es-ES"/>
        </w:rPr>
        <w:t>1</w:t>
      </w:r>
      <w:r w:rsidR="006F38E2">
        <w:rPr>
          <w:lang w:val="es-ES"/>
        </w:rPr>
        <w:t>.</w:t>
      </w:r>
      <w:r w:rsidR="0029677A">
        <w:rPr>
          <w:lang w:val="es-ES"/>
        </w:rPr>
        <w:t>0</w:t>
      </w:r>
      <w:r w:rsidR="006F38E2">
        <w:rPr>
          <w:lang w:val="es-ES"/>
        </w:rPr>
        <w:t>%)</w:t>
      </w:r>
      <w:r w:rsidR="006F38E2" w:rsidRPr="00D34811">
        <w:rPr>
          <w:lang w:val="es-ES"/>
        </w:rPr>
        <w:t xml:space="preserve"> Asimismo</w:t>
      </w:r>
      <w:r w:rsidRPr="00D34811">
        <w:rPr>
          <w:lang w:val="es-ES"/>
        </w:rPr>
        <w:t xml:space="preserve">, en términos agregados estos tres ramos representaron el </w:t>
      </w:r>
      <w:r w:rsidR="00D34811" w:rsidRPr="00D34811">
        <w:rPr>
          <w:lang w:val="es-ES"/>
        </w:rPr>
        <w:t>7</w:t>
      </w:r>
      <w:r w:rsidR="006F38E2">
        <w:rPr>
          <w:lang w:val="es-ES"/>
        </w:rPr>
        <w:t>3</w:t>
      </w:r>
      <w:r w:rsidR="0067476C" w:rsidRPr="00D34811">
        <w:rPr>
          <w:lang w:val="es-ES"/>
        </w:rPr>
        <w:t>.</w:t>
      </w:r>
      <w:r w:rsidR="0029677A">
        <w:rPr>
          <w:lang w:val="es-ES"/>
        </w:rPr>
        <w:t>3</w:t>
      </w:r>
      <w:r w:rsidRPr="00D34811">
        <w:rPr>
          <w:lang w:val="es-ES"/>
        </w:rPr>
        <w:t>% del total de las PNC</w:t>
      </w:r>
      <w:r w:rsidR="004415CB" w:rsidRPr="00D34811">
        <w:rPr>
          <w:lang w:val="es-ES"/>
        </w:rPr>
        <w:t xml:space="preserve">, durante el mes de </w:t>
      </w:r>
      <w:r w:rsidR="006F38E2">
        <w:rPr>
          <w:lang w:val="es-ES"/>
        </w:rPr>
        <w:t>marzo</w:t>
      </w:r>
      <w:r w:rsidR="004415CB" w:rsidRPr="00D34811">
        <w:rPr>
          <w:lang w:val="es-ES"/>
        </w:rPr>
        <w:t xml:space="preserve"> de 202</w:t>
      </w:r>
      <w:r w:rsidR="006F38E2">
        <w:rPr>
          <w:lang w:val="es-ES"/>
        </w:rPr>
        <w:t>5</w:t>
      </w:r>
      <w:r w:rsidR="004415CB" w:rsidRPr="00D34811">
        <w:rPr>
          <w:lang w:val="es-ES"/>
        </w:rPr>
        <w:t>.</w:t>
      </w:r>
    </w:p>
    <w:sectPr w:rsidR="000B4A65" w:rsidRPr="00D3481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AF1" w:rsidRDefault="00D44AF1" w:rsidP="00694BD8">
      <w:r>
        <w:separator/>
      </w:r>
    </w:p>
  </w:endnote>
  <w:endnote w:type="continuationSeparator" w:id="0">
    <w:p w:rsidR="00D44AF1" w:rsidRDefault="00D44AF1" w:rsidP="0069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416944"/>
      <w:docPartObj>
        <w:docPartGallery w:val="Page Numbers (Bottom of Page)"/>
        <w:docPartUnique/>
      </w:docPartObj>
    </w:sdtPr>
    <w:sdtEndPr/>
    <w:sdtContent>
      <w:p w:rsidR="00694BD8" w:rsidRDefault="00694B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694BD8" w:rsidRDefault="00694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AF1" w:rsidRDefault="00D44AF1" w:rsidP="00694BD8">
      <w:r>
        <w:separator/>
      </w:r>
    </w:p>
  </w:footnote>
  <w:footnote w:type="continuationSeparator" w:id="0">
    <w:p w:rsidR="00D44AF1" w:rsidRDefault="00D44AF1" w:rsidP="0069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BD8" w:rsidRDefault="00694BD8" w:rsidP="00694BD8">
    <w:pPr>
      <w:pStyle w:val="Header"/>
      <w:jc w:val="center"/>
      <w:rPr>
        <w:color w:val="02377E"/>
        <w:lang w:val="es-ES"/>
      </w:rPr>
    </w:pPr>
    <w:r>
      <w:rPr>
        <w:color w:val="02377E"/>
        <w:lang w:val="es-ES"/>
      </w:rPr>
      <w:t>DIRECCIÓN DE ESTUDIOS DEL SECTOR SEGUROS</w:t>
    </w:r>
  </w:p>
  <w:p w:rsidR="00694BD8" w:rsidRPr="00694BD8" w:rsidRDefault="00694BD8" w:rsidP="00694BD8">
    <w:pPr>
      <w:pStyle w:val="Header"/>
      <w:jc w:val="center"/>
      <w:rPr>
        <w:color w:val="02377E"/>
        <w:lang w:val="es-ES"/>
      </w:rPr>
    </w:pPr>
    <w:r>
      <w:rPr>
        <w:color w:val="02377E"/>
        <w:lang w:val="es-ES"/>
      </w:rPr>
      <w:t>SUPERINTENDENCIA DE SEGUROS</w:t>
    </w:r>
    <w:r w:rsidRPr="00694BD8">
      <w:rPr>
        <w:color w:val="02377E"/>
        <w:lang w:val="es-E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65"/>
    <w:rsid w:val="00001FAE"/>
    <w:rsid w:val="000146CA"/>
    <w:rsid w:val="000160CA"/>
    <w:rsid w:val="0002491D"/>
    <w:rsid w:val="00030BBE"/>
    <w:rsid w:val="00077047"/>
    <w:rsid w:val="0009026E"/>
    <w:rsid w:val="00094729"/>
    <w:rsid w:val="000A726A"/>
    <w:rsid w:val="000B4A65"/>
    <w:rsid w:val="000E4EDB"/>
    <w:rsid w:val="001028E9"/>
    <w:rsid w:val="00183EA6"/>
    <w:rsid w:val="001862D7"/>
    <w:rsid w:val="001E2ED1"/>
    <w:rsid w:val="001E5A52"/>
    <w:rsid w:val="002073DA"/>
    <w:rsid w:val="00227A34"/>
    <w:rsid w:val="0025647E"/>
    <w:rsid w:val="00271179"/>
    <w:rsid w:val="0029677A"/>
    <w:rsid w:val="003100F1"/>
    <w:rsid w:val="003216F1"/>
    <w:rsid w:val="00326AE6"/>
    <w:rsid w:val="003408B0"/>
    <w:rsid w:val="003455BB"/>
    <w:rsid w:val="00346923"/>
    <w:rsid w:val="003D336F"/>
    <w:rsid w:val="003D3F45"/>
    <w:rsid w:val="003D64DE"/>
    <w:rsid w:val="004415CB"/>
    <w:rsid w:val="00446141"/>
    <w:rsid w:val="004A00EB"/>
    <w:rsid w:val="004C7FA5"/>
    <w:rsid w:val="004D3A77"/>
    <w:rsid w:val="00527911"/>
    <w:rsid w:val="00540DBD"/>
    <w:rsid w:val="005833C9"/>
    <w:rsid w:val="00595420"/>
    <w:rsid w:val="005B3D06"/>
    <w:rsid w:val="00605949"/>
    <w:rsid w:val="00636942"/>
    <w:rsid w:val="00647492"/>
    <w:rsid w:val="0067476C"/>
    <w:rsid w:val="0068397E"/>
    <w:rsid w:val="00694BD8"/>
    <w:rsid w:val="00696FF1"/>
    <w:rsid w:val="006A041E"/>
    <w:rsid w:val="006D7E45"/>
    <w:rsid w:val="006F38E2"/>
    <w:rsid w:val="00716977"/>
    <w:rsid w:val="007778E6"/>
    <w:rsid w:val="00786392"/>
    <w:rsid w:val="00794EE6"/>
    <w:rsid w:val="007A1E33"/>
    <w:rsid w:val="007B3710"/>
    <w:rsid w:val="0080534C"/>
    <w:rsid w:val="008158F4"/>
    <w:rsid w:val="008226F0"/>
    <w:rsid w:val="00824C5A"/>
    <w:rsid w:val="00860C99"/>
    <w:rsid w:val="008822CD"/>
    <w:rsid w:val="008862FE"/>
    <w:rsid w:val="0089000D"/>
    <w:rsid w:val="008C2637"/>
    <w:rsid w:val="00904E19"/>
    <w:rsid w:val="00950F3F"/>
    <w:rsid w:val="009B2B83"/>
    <w:rsid w:val="009C10CC"/>
    <w:rsid w:val="009D75F9"/>
    <w:rsid w:val="009D7C17"/>
    <w:rsid w:val="009E6E87"/>
    <w:rsid w:val="00A11285"/>
    <w:rsid w:val="00A14114"/>
    <w:rsid w:val="00A2638A"/>
    <w:rsid w:val="00A37855"/>
    <w:rsid w:val="00A45010"/>
    <w:rsid w:val="00A70764"/>
    <w:rsid w:val="00AA4C7E"/>
    <w:rsid w:val="00AA5556"/>
    <w:rsid w:val="00AD7BD7"/>
    <w:rsid w:val="00AE7D52"/>
    <w:rsid w:val="00AF3E17"/>
    <w:rsid w:val="00B0082A"/>
    <w:rsid w:val="00B228D5"/>
    <w:rsid w:val="00B25F88"/>
    <w:rsid w:val="00B375A3"/>
    <w:rsid w:val="00B6269C"/>
    <w:rsid w:val="00B82F8D"/>
    <w:rsid w:val="00B9488F"/>
    <w:rsid w:val="00BB14FB"/>
    <w:rsid w:val="00BD2735"/>
    <w:rsid w:val="00BF1914"/>
    <w:rsid w:val="00C140AA"/>
    <w:rsid w:val="00C33EF2"/>
    <w:rsid w:val="00C47C5E"/>
    <w:rsid w:val="00CA1DB5"/>
    <w:rsid w:val="00CE126C"/>
    <w:rsid w:val="00CE4A4F"/>
    <w:rsid w:val="00D34811"/>
    <w:rsid w:val="00D44AF1"/>
    <w:rsid w:val="00D4631D"/>
    <w:rsid w:val="00D81EBB"/>
    <w:rsid w:val="00D82B12"/>
    <w:rsid w:val="00D93995"/>
    <w:rsid w:val="00DB715E"/>
    <w:rsid w:val="00DD6734"/>
    <w:rsid w:val="00DE62FB"/>
    <w:rsid w:val="00E22DEB"/>
    <w:rsid w:val="00E452C0"/>
    <w:rsid w:val="00E46B60"/>
    <w:rsid w:val="00E71C80"/>
    <w:rsid w:val="00E726BB"/>
    <w:rsid w:val="00E94208"/>
    <w:rsid w:val="00EA418E"/>
    <w:rsid w:val="00EF688C"/>
    <w:rsid w:val="00F25C5D"/>
    <w:rsid w:val="00F357B9"/>
    <w:rsid w:val="00F40A43"/>
    <w:rsid w:val="00F64B98"/>
    <w:rsid w:val="00FA1216"/>
    <w:rsid w:val="00FA6C52"/>
    <w:rsid w:val="00FA72E6"/>
    <w:rsid w:val="00FD1DF1"/>
    <w:rsid w:val="00F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A8CC5"/>
  <w15:chartTrackingRefBased/>
  <w15:docId w15:val="{77D1B0D2-2743-4D6F-AC09-4C049F70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A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A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A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DO"/>
    </w:rPr>
  </w:style>
  <w:style w:type="character" w:customStyle="1" w:styleId="Heading2Char">
    <w:name w:val="Heading 2 Char"/>
    <w:basedOn w:val="DefaultParagraphFont"/>
    <w:link w:val="Heading2"/>
    <w:uiPriority w:val="9"/>
    <w:rsid w:val="00227A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DO"/>
    </w:rPr>
  </w:style>
  <w:style w:type="paragraph" w:styleId="Header">
    <w:name w:val="header"/>
    <w:basedOn w:val="Normal"/>
    <w:link w:val="HeaderChar"/>
    <w:uiPriority w:val="99"/>
    <w:unhideWhenUsed/>
    <w:rsid w:val="00694B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BD8"/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Footer">
    <w:name w:val="footer"/>
    <w:basedOn w:val="Normal"/>
    <w:link w:val="FooterChar"/>
    <w:uiPriority w:val="99"/>
    <w:unhideWhenUsed/>
    <w:rsid w:val="00694B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BD8"/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Baez</dc:creator>
  <cp:keywords/>
  <dc:description/>
  <cp:lastModifiedBy>Juan Antonio  Zapata Linares</cp:lastModifiedBy>
  <cp:revision>2</cp:revision>
  <dcterms:created xsi:type="dcterms:W3CDTF">2025-06-05T14:16:00Z</dcterms:created>
  <dcterms:modified xsi:type="dcterms:W3CDTF">2025-06-05T14:16:00Z</dcterms:modified>
</cp:coreProperties>
</file>