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FD1E" w14:textId="3AECFEE7" w:rsidR="006E2C6F" w:rsidRDefault="006E2C6F" w:rsidP="006E2C6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6B80F3" wp14:editId="293EBD60">
            <wp:simplePos x="0" y="0"/>
            <wp:positionH relativeFrom="leftMargin">
              <wp:align>right</wp:align>
            </wp:positionH>
            <wp:positionV relativeFrom="paragraph">
              <wp:posOffset>-590550</wp:posOffset>
            </wp:positionV>
            <wp:extent cx="552450" cy="581025"/>
            <wp:effectExtent l="0" t="0" r="0" b="9525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DE SEGUROS DE LA REPÚBLICA DOMINICANA PRIMAS NETAS COBRADAS DE </w:t>
      </w:r>
      <w:r w:rsidR="009C1B25">
        <w:rPr>
          <w:rFonts w:ascii="Times New Roman" w:hAnsi="Times New Roman" w:cs="Times New Roman"/>
          <w:b/>
          <w:i/>
          <w:sz w:val="24"/>
          <w:szCs w:val="24"/>
          <w:lang w:val="es-ES"/>
        </w:rPr>
        <w:t>MARZO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DEL 2021</w:t>
      </w:r>
    </w:p>
    <w:p w14:paraId="55FA40FD" w14:textId="77777777" w:rsidR="006E2C6F" w:rsidRDefault="006E2C6F" w:rsidP="006E2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C9C1102" w14:textId="35EFD4E4" w:rsidR="006E2C6F" w:rsidRPr="00904DEB" w:rsidRDefault="006E2C6F" w:rsidP="006E2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>
        <w:rPr>
          <w:rFonts w:ascii="Times New Roman" w:hAnsi="Times New Roman" w:cs="Times New Roman"/>
          <w:sz w:val="24"/>
          <w:szCs w:val="24"/>
          <w:lang w:val="es-ES"/>
        </w:rPr>
        <w:t>Cobradas (PNC) totalizaron en marzo del 2021 un monto de RD</w:t>
      </w:r>
      <w:r w:rsidRPr="00AA683B"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297A44">
        <w:rPr>
          <w:rFonts w:ascii="Times New Roman" w:hAnsi="Times New Roman" w:cs="Times New Roman"/>
          <w:sz w:val="24"/>
          <w:szCs w:val="24"/>
          <w:lang w:val="es-ES"/>
        </w:rPr>
        <w:t xml:space="preserve"> 9,302.7</w:t>
      </w:r>
      <w:r w:rsidR="007F7927">
        <w:rPr>
          <w:rFonts w:ascii="Times New Roman" w:hAnsi="Times New Roman" w:cs="Times New Roman"/>
          <w:sz w:val="24"/>
          <w:szCs w:val="24"/>
          <w:lang w:val="es-DO"/>
        </w:rPr>
        <w:t xml:space="preserve"> millones</w:t>
      </w:r>
      <w:r w:rsidR="007F4D0E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0045E">
        <w:rPr>
          <w:rFonts w:ascii="Times New Roman" w:hAnsi="Times New Roman" w:cs="Times New Roman"/>
          <w:sz w:val="24"/>
          <w:szCs w:val="24"/>
          <w:lang w:val="es-ES"/>
        </w:rPr>
        <w:t>registrando</w:t>
      </w:r>
      <w:r w:rsidR="00297A44">
        <w:rPr>
          <w:rFonts w:ascii="Times New Roman" w:hAnsi="Times New Roman" w:cs="Times New Roman"/>
          <w:sz w:val="24"/>
          <w:szCs w:val="24"/>
          <w:lang w:val="es-ES"/>
        </w:rPr>
        <w:t xml:space="preserve"> un crecimiento absoluto de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RD</w:t>
      </w:r>
      <w:r w:rsidRPr="00510311">
        <w:rPr>
          <w:rFonts w:ascii="Times New Roman" w:hAnsi="Times New Roman" w:cs="Times New Roman"/>
          <w:sz w:val="24"/>
          <w:szCs w:val="24"/>
          <w:lang w:val="es-ES"/>
        </w:rPr>
        <w:t>$</w:t>
      </w:r>
      <w:r w:rsidRPr="00904DE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0045E">
        <w:rPr>
          <w:rFonts w:ascii="Times New Roman" w:hAnsi="Times New Roman" w:cs="Times New Roman"/>
          <w:sz w:val="24"/>
          <w:szCs w:val="24"/>
          <w:lang w:val="es-DO"/>
        </w:rPr>
        <w:t>3,792.4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millones</w:t>
      </w:r>
      <w:r w:rsidRPr="00904DE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C0045E">
        <w:rPr>
          <w:rFonts w:ascii="Times New Roman" w:hAnsi="Times New Roman" w:cs="Times New Roman"/>
          <w:sz w:val="24"/>
          <w:szCs w:val="24"/>
          <w:lang w:val="es-ES"/>
        </w:rPr>
        <w:t>68.8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respecto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anterior).</w:t>
      </w:r>
    </w:p>
    <w:p w14:paraId="4A7B5ED1" w14:textId="76B3210D" w:rsidR="00297A44" w:rsidRPr="00297A44" w:rsidRDefault="00297A44" w:rsidP="00297A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DO" w:eastAsia="es-DO"/>
        </w:rPr>
      </w:pPr>
    </w:p>
    <w:p w14:paraId="0A457789" w14:textId="77777777" w:rsidR="006E2C6F" w:rsidRDefault="006E2C6F" w:rsidP="006E2C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</w:p>
    <w:p w14:paraId="26077559" w14:textId="281BACC8" w:rsidR="006E2C6F" w:rsidRPr="0050327B" w:rsidRDefault="006E2C6F" w:rsidP="006E2C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Cabe destacar </w:t>
      </w:r>
      <w:r w:rsidR="00C0045E"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que,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para el mes de </w:t>
      </w:r>
      <w:r w:rsidR="00C0045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marzo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de</w:t>
      </w:r>
      <w:r w:rsidR="00C0045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l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2021 en comparación 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con el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mismo período del año 2020, los ramos que reflejaron un mayor crecimiento relativo fueron: 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Incendios y Aliados 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(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222.4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, 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Agrícola y Pecuario (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155.8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y Transporte de Carga (100.2%)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. </w:t>
      </w:r>
      <w:r w:rsidRPr="0050327B">
        <w:rPr>
          <w:rFonts w:ascii="Times New Roman" w:hAnsi="Times New Roman" w:cs="Times New Roman"/>
          <w:bCs/>
          <w:sz w:val="24"/>
          <w:szCs w:val="24"/>
          <w:lang w:val="es-DO"/>
        </w:rPr>
        <w:t>En sentido contrario</w:t>
      </w:r>
      <w:r>
        <w:rPr>
          <w:rFonts w:ascii="Times New Roman" w:hAnsi="Times New Roman" w:cs="Times New Roman"/>
          <w:bCs/>
          <w:sz w:val="24"/>
          <w:szCs w:val="24"/>
          <w:lang w:val="es-DO"/>
        </w:rPr>
        <w:t>,</w:t>
      </w:r>
      <w:r w:rsidRPr="0050327B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los ramos que mostraron un decrecimiento fueron: </w:t>
      </w:r>
      <w:r w:rsidR="007F4D0E">
        <w:rPr>
          <w:rFonts w:ascii="Times New Roman" w:hAnsi="Times New Roman" w:cs="Times New Roman"/>
          <w:bCs/>
          <w:sz w:val="24"/>
          <w:szCs w:val="24"/>
          <w:lang w:val="es-DO"/>
        </w:rPr>
        <w:t>Accidentes y Personales</w:t>
      </w:r>
      <w:r w:rsidRPr="0050327B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(</w:t>
      </w:r>
      <w:r w:rsidR="007F4D0E">
        <w:rPr>
          <w:rFonts w:ascii="Times New Roman" w:hAnsi="Times New Roman" w:cs="Times New Roman"/>
          <w:bCs/>
          <w:sz w:val="24"/>
          <w:szCs w:val="24"/>
          <w:lang w:val="es-DO"/>
        </w:rPr>
        <w:t>-2.1</w:t>
      </w:r>
      <w:r w:rsidRPr="0050327B">
        <w:rPr>
          <w:rFonts w:ascii="Times New Roman" w:hAnsi="Times New Roman" w:cs="Times New Roman"/>
          <w:bCs/>
          <w:sz w:val="24"/>
          <w:szCs w:val="24"/>
          <w:lang w:val="es-DO"/>
        </w:rPr>
        <w:t>%)</w:t>
      </w:r>
      <w:r>
        <w:rPr>
          <w:rFonts w:ascii="Times New Roman" w:hAnsi="Times New Roman" w:cs="Times New Roman"/>
          <w:bCs/>
          <w:sz w:val="24"/>
          <w:szCs w:val="24"/>
          <w:lang w:val="es-DO"/>
        </w:rPr>
        <w:t xml:space="preserve"> y </w:t>
      </w:r>
      <w:r w:rsidR="007F4D0E">
        <w:rPr>
          <w:rFonts w:ascii="Times New Roman" w:hAnsi="Times New Roman" w:cs="Times New Roman"/>
          <w:bCs/>
          <w:sz w:val="24"/>
          <w:szCs w:val="24"/>
          <w:lang w:val="es-DO"/>
        </w:rPr>
        <w:t>Naves Marítimas y Aéreas (</w:t>
      </w:r>
      <w:r>
        <w:rPr>
          <w:rFonts w:ascii="Times New Roman" w:hAnsi="Times New Roman" w:cs="Times New Roman"/>
          <w:bCs/>
          <w:sz w:val="24"/>
          <w:szCs w:val="24"/>
          <w:lang w:val="es-DO"/>
        </w:rPr>
        <w:t>-</w:t>
      </w:r>
      <w:r w:rsidR="007F4D0E">
        <w:rPr>
          <w:rFonts w:ascii="Times New Roman" w:hAnsi="Times New Roman" w:cs="Times New Roman"/>
          <w:bCs/>
          <w:sz w:val="24"/>
          <w:szCs w:val="24"/>
          <w:lang w:val="es-DO"/>
        </w:rPr>
        <w:t>49.8</w:t>
      </w:r>
      <w:r>
        <w:rPr>
          <w:rFonts w:ascii="Times New Roman" w:hAnsi="Times New Roman" w:cs="Times New Roman"/>
          <w:bCs/>
          <w:sz w:val="24"/>
          <w:szCs w:val="24"/>
          <w:lang w:val="es-DO"/>
        </w:rPr>
        <w:t>%).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En 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mismo 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contexto, los ramos de mayor representatividad en el total de 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P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rimas 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N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etas 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C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obradas fueron: Incendios y Aliados (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39.3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,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Salud (2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.0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y 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Vehículos de Motor (</w:t>
      </w:r>
      <w:r w:rsidR="007F4D0E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19.</w:t>
      </w:r>
      <w:r w:rsidR="0048338A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9</w:t>
      </w:r>
      <w:r w:rsidRPr="0050327B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%).</w:t>
      </w:r>
    </w:p>
    <w:p w14:paraId="072DA21D" w14:textId="77777777" w:rsidR="006E2C6F" w:rsidRPr="0050327B" w:rsidRDefault="006E2C6F" w:rsidP="006E2C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DO"/>
        </w:rPr>
      </w:pPr>
    </w:p>
    <w:p w14:paraId="7CB0F0A6" w14:textId="2342A031" w:rsidR="006E2C6F" w:rsidRPr="00B82DD2" w:rsidRDefault="006E2C6F" w:rsidP="006E2C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</w:pP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Las Primas Netas Cobradas No Exoneradas </w:t>
      </w:r>
      <w:r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>totalizaron</w:t>
      </w:r>
      <w:r w:rsidRPr="00510311"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  <w:t xml:space="preserve"> un monto de RD$</w:t>
      </w:r>
      <w:r w:rsidRPr="001D7382">
        <w:rPr>
          <w:rFonts w:ascii="Arial" w:hAnsi="Arial" w:cs="Arial"/>
          <w:b/>
          <w:bCs/>
          <w:sz w:val="20"/>
          <w:szCs w:val="20"/>
          <w:lang w:val="es-DO"/>
        </w:rPr>
        <w:t xml:space="preserve"> </w:t>
      </w:r>
      <w:r w:rsidR="005866BA">
        <w:rPr>
          <w:rFonts w:ascii="Times New Roman" w:hAnsi="Times New Roman" w:cs="Times New Roman"/>
          <w:bCs/>
          <w:sz w:val="24"/>
          <w:szCs w:val="24"/>
          <w:lang w:val="es-DO"/>
        </w:rPr>
        <w:t xml:space="preserve">6,635.9 </w:t>
      </w:r>
      <w:r>
        <w:rPr>
          <w:rFonts w:ascii="Times New Roman" w:hAnsi="Times New Roman" w:cs="Times New Roman"/>
          <w:bCs/>
          <w:sz w:val="24"/>
          <w:szCs w:val="24"/>
          <w:lang w:val="es-DO"/>
        </w:rPr>
        <w:t>millones</w:t>
      </w:r>
      <w:r>
        <w:rPr>
          <w:rFonts w:ascii="Arial" w:hAnsi="Arial" w:cs="Arial"/>
          <w:b/>
          <w:bCs/>
          <w:sz w:val="20"/>
          <w:szCs w:val="20"/>
          <w:lang w:val="es-DO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DO" w:eastAsia="es-DO"/>
        </w:rPr>
        <w:t xml:space="preserve"> 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representando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(</w:t>
      </w:r>
      <w:r w:rsidR="005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1.</w:t>
      </w:r>
      <w:r w:rsidR="005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3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)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del total de Primas Netas Cobradas en el mes de </w:t>
      </w:r>
      <w:r w:rsidR="005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marzo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de</w:t>
      </w:r>
      <w:r w:rsidR="005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l año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2021.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M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ientras que</w:t>
      </w:r>
      <w:r w:rsidR="005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,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las Primas Exoneradas de impuestos fueron de RD</w:t>
      </w:r>
      <w:r w:rsidRPr="003F1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$ 2,6</w:t>
      </w:r>
      <w:r w:rsidR="005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66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</w:t>
      </w:r>
      <w:r w:rsidR="0058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millones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para una participación (</w:t>
      </w:r>
      <w:r w:rsidR="005866BA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.</w:t>
      </w:r>
      <w:r w:rsidR="005866BA"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>%) del total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. Los ramos con mayor participación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en el total </w:t>
      </w:r>
      <w:r w:rsidRPr="00510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Primas Netas Cobradas Exoneradas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fueron: </w:t>
      </w:r>
      <w:r>
        <w:rPr>
          <w:rFonts w:ascii="Times New Roman" w:hAnsi="Times New Roman" w:cs="Times New Roman"/>
          <w:sz w:val="24"/>
          <w:szCs w:val="24"/>
          <w:lang w:val="es-DO"/>
        </w:rPr>
        <w:t>Salud (</w:t>
      </w:r>
      <w:r w:rsidR="00AC23D4">
        <w:rPr>
          <w:rFonts w:ascii="Times New Roman" w:hAnsi="Times New Roman" w:cs="Times New Roman"/>
          <w:sz w:val="24"/>
          <w:szCs w:val="24"/>
          <w:lang w:val="es-DO"/>
        </w:rPr>
        <w:t>69.7</w:t>
      </w:r>
      <w:r>
        <w:rPr>
          <w:rFonts w:ascii="Times New Roman" w:hAnsi="Times New Roman" w:cs="Times New Roman"/>
          <w:sz w:val="24"/>
          <w:szCs w:val="24"/>
          <w:lang w:val="es-DO"/>
        </w:rPr>
        <w:t>%)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Vida Colectivo (2</w:t>
      </w:r>
      <w:r w:rsidR="00AC23D4">
        <w:rPr>
          <w:rFonts w:ascii="Times New Roman" w:hAnsi="Times New Roman" w:cs="Times New Roman"/>
          <w:sz w:val="24"/>
          <w:szCs w:val="24"/>
          <w:lang w:val="es-ES"/>
        </w:rPr>
        <w:t>0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23D4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%) de aporte </w:t>
      </w:r>
      <w:r w:rsidR="00AC23D4">
        <w:rPr>
          <w:rFonts w:ascii="Times New Roman" w:hAnsi="Times New Roman" w:cs="Times New Roman"/>
          <w:sz w:val="24"/>
          <w:szCs w:val="24"/>
          <w:lang w:val="es-ES"/>
        </w:rPr>
        <w:t>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total de Primas Exoneradas de impuestos, respectivamente.</w:t>
      </w:r>
    </w:p>
    <w:p w14:paraId="2B0D0066" w14:textId="77777777" w:rsidR="006E2C6F" w:rsidRDefault="006E2C6F" w:rsidP="006E2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2CD518B4" w14:textId="77777777" w:rsidR="006E2C6F" w:rsidRDefault="006E2C6F" w:rsidP="006E2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14:paraId="06218E75" w14:textId="77777777" w:rsidR="006E2C6F" w:rsidRPr="005E2626" w:rsidRDefault="006E2C6F" w:rsidP="006E2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5062C28B" w14:textId="11DE2240" w:rsidR="006E2C6F" w:rsidRDefault="006E2C6F" w:rsidP="006E2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representan el </w:t>
      </w:r>
      <w:r w:rsidR="00FE4E03">
        <w:rPr>
          <w:rFonts w:ascii="Times New Roman" w:hAnsi="Times New Roman" w:cs="Times New Roman"/>
          <w:sz w:val="24"/>
          <w:szCs w:val="24"/>
          <w:lang w:val="es-ES"/>
        </w:rPr>
        <w:t>92.5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 del total de las Primas Netas Cobradas </w:t>
      </w:r>
      <w:r w:rsidR="00E5535B">
        <w:rPr>
          <w:rFonts w:ascii="Times New Roman" w:hAnsi="Times New Roman" w:cs="Times New Roman"/>
          <w:sz w:val="24"/>
          <w:szCs w:val="24"/>
          <w:lang w:val="es-ES"/>
        </w:rPr>
        <w:t>por 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sector asegurador dominicano </w:t>
      </w:r>
      <w:r w:rsidR="00AC23D4">
        <w:rPr>
          <w:rFonts w:ascii="Times New Roman" w:hAnsi="Times New Roman" w:cs="Times New Roman"/>
          <w:sz w:val="24"/>
          <w:szCs w:val="24"/>
          <w:lang w:val="es-ES"/>
        </w:rPr>
        <w:t>durante el mes marzo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AC23D4">
        <w:rPr>
          <w:rFonts w:ascii="Times New Roman" w:hAnsi="Times New Roman" w:cs="Times New Roman"/>
          <w:sz w:val="24"/>
          <w:szCs w:val="24"/>
          <w:lang w:val="es-ES"/>
        </w:rPr>
        <w:t>l año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2021:</w:t>
      </w:r>
    </w:p>
    <w:p w14:paraId="77CE367E" w14:textId="77777777" w:rsidR="006E2C6F" w:rsidRDefault="006E2C6F" w:rsidP="006E2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6232C3" w14:textId="77777777" w:rsidR="00365959" w:rsidRDefault="006E2C6F" w:rsidP="009C1B2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14:paraId="3D0D8479" w14:textId="48775E1C" w:rsidR="006E2C6F" w:rsidRDefault="006E2C6F" w:rsidP="0036595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Las 10 compañías más importantes del mes de </w:t>
      </w:r>
      <w:r w:rsidR="007F7927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marzo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de 2021</w:t>
      </w:r>
    </w:p>
    <w:p w14:paraId="7B9D616D" w14:textId="126DC505" w:rsidR="00416311" w:rsidRDefault="00416311" w:rsidP="009C1B25">
      <w:pPr>
        <w:spacing w:after="0" w:line="360" w:lineRule="auto"/>
        <w:rPr>
          <w:lang w:val="es-DO"/>
        </w:rPr>
      </w:pPr>
      <w:r>
        <w:rPr>
          <w:lang w:val="es-ES" w:eastAsia="es-DO"/>
        </w:rPr>
        <w:fldChar w:fldCharType="begin"/>
      </w:r>
      <w:r>
        <w:rPr>
          <w:lang w:val="es-ES" w:eastAsia="es-DO"/>
        </w:rPr>
        <w:instrText xml:space="preserve"> LINK Excel.Sheet.12 "Book1" "Sheet1!R2C3:R13C7" \a \f 4 \h  \* MERGEFORMAT </w:instrText>
      </w:r>
      <w:r>
        <w:rPr>
          <w:lang w:val="es-ES" w:eastAsia="es-DO"/>
        </w:rPr>
        <w:fldChar w:fldCharType="separate"/>
      </w:r>
    </w:p>
    <w:tbl>
      <w:tblPr>
        <w:tblW w:w="8402" w:type="dxa"/>
        <w:tblLook w:val="04A0" w:firstRow="1" w:lastRow="0" w:firstColumn="1" w:lastColumn="0" w:noHBand="0" w:noVBand="1"/>
      </w:tblPr>
      <w:tblGrid>
        <w:gridCol w:w="3892"/>
        <w:gridCol w:w="511"/>
        <w:gridCol w:w="1744"/>
        <w:gridCol w:w="511"/>
        <w:gridCol w:w="1744"/>
      </w:tblGrid>
      <w:tr w:rsidR="00416311" w:rsidRPr="00416311" w14:paraId="4E29F7A4" w14:textId="77777777" w:rsidTr="00416311">
        <w:trPr>
          <w:trHeight w:val="272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E255A3D" w14:textId="205BC4E6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Compañías</w:t>
            </w:r>
            <w:proofErr w:type="spellEnd"/>
          </w:p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A03C85B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Posicionamiento</w:t>
            </w:r>
            <w:proofErr w:type="spellEnd"/>
          </w:p>
        </w:tc>
      </w:tr>
      <w:tr w:rsidR="00416311" w:rsidRPr="00416311" w14:paraId="61D8D599" w14:textId="77777777" w:rsidTr="00416311">
        <w:trPr>
          <w:trHeight w:val="272"/>
        </w:trPr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B57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9A17D80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58699F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416311" w:rsidRPr="00416311" w14:paraId="425F9F55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A71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Seguros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 xml:space="preserve"> Universal,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56B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0B7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1,280,260,506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B2F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79E8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2,974,276,174</w:t>
            </w:r>
          </w:p>
        </w:tc>
      </w:tr>
      <w:tr w:rsidR="00416311" w:rsidRPr="00416311" w14:paraId="5002EF73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8DA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Seguros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Reservas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F65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442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722,736,223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527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8673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1,278,442,442</w:t>
            </w:r>
          </w:p>
        </w:tc>
      </w:tr>
      <w:tr w:rsidR="00416311" w:rsidRPr="00416311" w14:paraId="06899D09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A6B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Humano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Seguros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3F8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C44E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1,048,416,534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B8D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FA8B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1,228,812,468</w:t>
            </w:r>
          </w:p>
        </w:tc>
      </w:tr>
      <w:tr w:rsidR="00416311" w:rsidRPr="00416311" w14:paraId="710C719D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388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  <w:lang w:val="es-DO"/>
              </w:rPr>
              <w:t xml:space="preserve">MAPFRE BHD </w:t>
            </w: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  <w:lang w:val="es-DO"/>
              </w:rPr>
              <w:t>Cía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  <w:lang w:val="es-DO"/>
              </w:rPr>
              <w:t xml:space="preserve"> de Seguros,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A43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EB8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635,365,811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5A5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487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948,027,828</w:t>
            </w:r>
          </w:p>
        </w:tc>
      </w:tr>
      <w:tr w:rsidR="00416311" w:rsidRPr="00416311" w14:paraId="6E258C9B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2B5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  <w:lang w:val="es-DO"/>
              </w:rPr>
              <w:t>La Colonial de Seguros,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82C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0F38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342,916,214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E33D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36E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721,632,896</w:t>
            </w:r>
          </w:p>
        </w:tc>
      </w:tr>
      <w:tr w:rsidR="00416311" w:rsidRPr="00416311" w14:paraId="1049C745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ADC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Seguros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Sura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9D7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E41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474,517,632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9D0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8EB6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686,439,807</w:t>
            </w:r>
          </w:p>
        </w:tc>
      </w:tr>
      <w:tr w:rsidR="00416311" w:rsidRPr="00416311" w14:paraId="12446713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4BF3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Seguros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 xml:space="preserve"> Worldwide,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97B9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429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184,598,509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51A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36BB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226,566,682</w:t>
            </w:r>
          </w:p>
        </w:tc>
      </w:tr>
      <w:tr w:rsidR="00416311" w:rsidRPr="00416311" w14:paraId="7B492BAB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DC9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Seguros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Crecer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676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7308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136,881,814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BE9D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7C88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185,052,854</w:t>
            </w:r>
          </w:p>
        </w:tc>
      </w:tr>
      <w:tr w:rsidR="00416311" w:rsidRPr="00416311" w14:paraId="1709832B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3D27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  <w:lang w:val="es-DO"/>
              </w:rPr>
              <w:t>General de Seguros,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8BA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CF4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125,805,427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E20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13E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131,804,518</w:t>
            </w:r>
          </w:p>
        </w:tc>
      </w:tr>
      <w:tr w:rsidR="00416311" w:rsidRPr="00416311" w14:paraId="6E85DC27" w14:textId="77777777" w:rsidTr="00416311">
        <w:trPr>
          <w:trHeight w:val="27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293" w14:textId="77777777" w:rsidR="00416311" w:rsidRPr="00416311" w:rsidRDefault="00416311" w:rsidP="00416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>Seguros</w:t>
            </w:r>
            <w:proofErr w:type="spellEnd"/>
            <w:r w:rsidRPr="00416311">
              <w:rPr>
                <w:rFonts w:ascii="Arial" w:eastAsia="Times New Roman" w:hAnsi="Arial" w:cs="Arial"/>
                <w:sz w:val="20"/>
                <w:szCs w:val="20"/>
              </w:rPr>
              <w:t xml:space="preserve"> Pepin, S. A.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35F5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C8B3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62,757,335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CEA" w14:textId="77777777" w:rsidR="00416311" w:rsidRPr="00416311" w:rsidRDefault="00416311" w:rsidP="00416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0CF" w14:textId="77777777" w:rsidR="00416311" w:rsidRPr="00416311" w:rsidRDefault="00416311" w:rsidP="00416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63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116,971,105</w:t>
            </w:r>
          </w:p>
        </w:tc>
      </w:tr>
    </w:tbl>
    <w:p w14:paraId="47C2584A" w14:textId="7E2FF127" w:rsidR="00416311" w:rsidRDefault="00416311" w:rsidP="009C1B25">
      <w:pPr>
        <w:spacing w:after="0" w:line="360" w:lineRule="auto"/>
        <w:rPr>
          <w:rFonts w:ascii="Arial" w:eastAsia="Times New Roman" w:hAnsi="Arial" w:cs="Arial"/>
          <w:sz w:val="14"/>
          <w:szCs w:val="14"/>
          <w:lang w:val="es-ES" w:eastAsia="es-DO"/>
        </w:rPr>
      </w:pPr>
      <w:r>
        <w:rPr>
          <w:rFonts w:ascii="Arial" w:eastAsia="Times New Roman" w:hAnsi="Arial" w:cs="Arial"/>
          <w:sz w:val="14"/>
          <w:szCs w:val="14"/>
          <w:lang w:val="es-ES" w:eastAsia="es-DO"/>
        </w:rPr>
        <w:fldChar w:fldCharType="end"/>
      </w:r>
      <w:r w:rsidR="006E2C6F">
        <w:rPr>
          <w:rFonts w:ascii="Arial" w:eastAsia="Times New Roman" w:hAnsi="Arial" w:cs="Arial"/>
          <w:sz w:val="14"/>
          <w:szCs w:val="14"/>
          <w:lang w:val="es-ES" w:eastAsia="es-DO"/>
        </w:rPr>
        <w:t xml:space="preserve">          </w:t>
      </w:r>
      <w:bookmarkStart w:id="0" w:name="_Hlk63074929"/>
    </w:p>
    <w:p w14:paraId="6F36A0F1" w14:textId="19435937" w:rsidR="006E2C6F" w:rsidRDefault="006E2C6F" w:rsidP="009C1B25">
      <w:pPr>
        <w:spacing w:after="0" w:line="360" w:lineRule="auto"/>
        <w:rPr>
          <w:rFonts w:ascii="Arial" w:eastAsia="Times New Roman" w:hAnsi="Arial" w:cs="Arial"/>
          <w:sz w:val="14"/>
          <w:szCs w:val="14"/>
          <w:lang w:val="es-DO" w:eastAsia="es-DO"/>
        </w:rPr>
      </w:pPr>
      <w:r w:rsidRPr="00E625BB">
        <w:rPr>
          <w:rFonts w:ascii="Arial" w:eastAsia="Times New Roman" w:hAnsi="Arial" w:cs="Arial"/>
          <w:sz w:val="14"/>
          <w:szCs w:val="14"/>
          <w:lang w:val="es-DO" w:eastAsia="es-DO"/>
        </w:rPr>
        <w:t xml:space="preserve">Fuente: Superintendencia de Seguros, </w:t>
      </w:r>
      <w:r>
        <w:rPr>
          <w:rFonts w:ascii="Arial" w:eastAsia="Times New Roman" w:hAnsi="Arial" w:cs="Arial"/>
          <w:sz w:val="14"/>
          <w:szCs w:val="14"/>
          <w:lang w:val="es-DO" w:eastAsia="es-DO"/>
        </w:rPr>
        <w:t>Dirección</w:t>
      </w:r>
      <w:r w:rsidRPr="00E625BB">
        <w:rPr>
          <w:rFonts w:ascii="Arial" w:eastAsia="Times New Roman" w:hAnsi="Arial" w:cs="Arial"/>
          <w:sz w:val="14"/>
          <w:szCs w:val="14"/>
          <w:lang w:val="es-DO" w:eastAsia="es-DO"/>
        </w:rPr>
        <w:t xml:space="preserve"> de Análisis Financiero y Estadísticas</w:t>
      </w:r>
      <w:bookmarkEnd w:id="0"/>
      <w:r>
        <w:rPr>
          <w:rFonts w:ascii="Arial" w:eastAsia="Times New Roman" w:hAnsi="Arial" w:cs="Arial"/>
          <w:sz w:val="14"/>
          <w:szCs w:val="14"/>
          <w:lang w:val="es-DO" w:eastAsia="es-DO"/>
        </w:rPr>
        <w:t>.</w:t>
      </w:r>
      <w:bookmarkStart w:id="1" w:name="_GoBack"/>
      <w:bookmarkEnd w:id="1"/>
    </w:p>
    <w:p w14:paraId="461D869C" w14:textId="77777777" w:rsidR="00823C87" w:rsidRPr="00D07C3C" w:rsidRDefault="00823C87" w:rsidP="009C1B25">
      <w:pPr>
        <w:spacing w:after="0" w:line="360" w:lineRule="auto"/>
        <w:rPr>
          <w:rFonts w:ascii="Arial" w:eastAsia="Times New Roman" w:hAnsi="Arial" w:cs="Arial"/>
          <w:sz w:val="14"/>
          <w:szCs w:val="14"/>
          <w:lang w:val="es-ES" w:eastAsia="es-DO"/>
        </w:rPr>
      </w:pPr>
    </w:p>
    <w:p w14:paraId="1C5E6D4D" w14:textId="6173A1B9" w:rsidR="00FE4E03" w:rsidRPr="00FE4E03" w:rsidRDefault="006E2C6F" w:rsidP="00E723C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DO" w:eastAsia="es-DO"/>
        </w:rPr>
      </w:pPr>
      <w:r w:rsidRPr="003A7D41">
        <w:rPr>
          <w:rFonts w:ascii="Times New Roman" w:hAnsi="Times New Roman" w:cs="Times New Roman"/>
          <w:sz w:val="24"/>
          <w:szCs w:val="24"/>
          <w:lang w:val="es-ES"/>
        </w:rPr>
        <w:t xml:space="preserve">Durante este mes, las aseguradoras que mostraron un mayor crecimiento respecto al mismo período del año anterior fueron: </w:t>
      </w:r>
      <w:r w:rsidRPr="003A7D41">
        <w:rPr>
          <w:rFonts w:ascii="Times New Roman" w:hAnsi="Times New Roman" w:cs="Times New Roman"/>
          <w:b/>
          <w:sz w:val="24"/>
          <w:szCs w:val="24"/>
          <w:lang w:val="es-ES"/>
        </w:rPr>
        <w:t>Unit, S. A.</w:t>
      </w:r>
      <w:r w:rsidRPr="003A7D41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606BA1">
        <w:rPr>
          <w:rFonts w:ascii="Times New Roman" w:hAnsi="Times New Roman" w:cs="Times New Roman"/>
          <w:sz w:val="24"/>
          <w:szCs w:val="24"/>
          <w:lang w:val="es-ES"/>
        </w:rPr>
        <w:t>840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06BA1"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%), </w:t>
      </w:r>
      <w:proofErr w:type="spellStart"/>
      <w:r w:rsidRPr="003A7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Pr="003A7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Seguros, S.A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 (</w:t>
      </w:r>
      <w:r w:rsidR="00606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499.2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 y</w:t>
      </w:r>
      <w:r w:rsidRPr="003A7D41">
        <w:rPr>
          <w:lang w:val="es-DO"/>
        </w:rPr>
        <w:t xml:space="preserve"> </w:t>
      </w:r>
      <w:proofErr w:type="spellStart"/>
      <w:r w:rsidR="00606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Multiseguros</w:t>
      </w:r>
      <w:proofErr w:type="spellEnd"/>
      <w:r w:rsidR="00606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SU, S. A</w:t>
      </w:r>
      <w:r w:rsidRPr="003A7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.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</w:t>
      </w:r>
      <w:r w:rsidR="00606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307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.</w:t>
      </w:r>
      <w:r w:rsidR="00606B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1</w:t>
      </w:r>
      <w:r w:rsidRPr="003A7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%). </w:t>
      </w:r>
    </w:p>
    <w:p w14:paraId="5D058245" w14:textId="77777777" w:rsidR="006E2C6F" w:rsidRDefault="006E2C6F" w:rsidP="006E2C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</w:pPr>
    </w:p>
    <w:p w14:paraId="37636E5A" w14:textId="7A8A370F" w:rsidR="006E2C6F" w:rsidRDefault="006E2C6F" w:rsidP="006E2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7F7927">
        <w:rPr>
          <w:rFonts w:ascii="Times New Roman" w:hAnsi="Times New Roman" w:cs="Times New Roman"/>
          <w:b/>
          <w:i/>
          <w:sz w:val="24"/>
          <w:szCs w:val="24"/>
          <w:lang w:val="es-ES"/>
        </w:rPr>
        <w:t>MARZO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2021</w:t>
      </w:r>
    </w:p>
    <w:p w14:paraId="7C8D5200" w14:textId="77777777" w:rsidR="006E2C6F" w:rsidRDefault="006E2C6F" w:rsidP="006E2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548FCC00" w14:textId="3F65F04F" w:rsidR="006E2C6F" w:rsidRDefault="006E2C6F" w:rsidP="006E2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606BA1">
        <w:rPr>
          <w:rFonts w:ascii="Times New Roman" w:hAnsi="Times New Roman" w:cs="Times New Roman"/>
          <w:sz w:val="24"/>
          <w:szCs w:val="24"/>
          <w:lang w:val="es-ES"/>
        </w:rPr>
        <w:t>manera consolidada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, las Primas Netas Cobradas al mes de </w:t>
      </w:r>
      <w:r w:rsidR="00606BA1">
        <w:rPr>
          <w:rFonts w:ascii="Times New Roman" w:hAnsi="Times New Roman" w:cs="Times New Roman"/>
          <w:sz w:val="24"/>
          <w:szCs w:val="24"/>
          <w:lang w:val="es-ES"/>
        </w:rPr>
        <w:t>marzo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asciende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 RD$</w:t>
      </w:r>
      <w:r w:rsidR="00606BA1">
        <w:rPr>
          <w:rFonts w:ascii="Times New Roman" w:hAnsi="Times New Roman" w:cs="Times New Roman"/>
          <w:sz w:val="24"/>
          <w:szCs w:val="24"/>
          <w:lang w:val="es-ES"/>
        </w:rPr>
        <w:t xml:space="preserve"> 21,783.7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millones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DO" w:eastAsia="es-DO"/>
        </w:rPr>
        <w:t xml:space="preserve">,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lo que representa un crecimiento en término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absoluto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de RD$</w:t>
      </w:r>
      <w:r w:rsidRPr="007E4FE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AF1EFB">
        <w:rPr>
          <w:rFonts w:ascii="Times New Roman" w:hAnsi="Times New Roman" w:cs="Times New Roman"/>
          <w:sz w:val="24"/>
          <w:szCs w:val="24"/>
          <w:lang w:val="es-DO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51382">
        <w:rPr>
          <w:rFonts w:ascii="Times New Roman" w:hAnsi="Times New Roman" w:cs="Times New Roman"/>
          <w:sz w:val="24"/>
          <w:szCs w:val="24"/>
          <w:lang w:val="es-DO"/>
        </w:rPr>
        <w:t xml:space="preserve">3,879.3 </w:t>
      </w:r>
      <w:r>
        <w:rPr>
          <w:rFonts w:ascii="Times New Roman" w:hAnsi="Times New Roman" w:cs="Times New Roman"/>
          <w:sz w:val="24"/>
          <w:szCs w:val="24"/>
          <w:lang w:val="es-DO"/>
        </w:rPr>
        <w:t>millones</w:t>
      </w:r>
      <w:r w:rsidRPr="00AF1EF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851382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51382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respecto al mismo período del año anterior. Los ramos de mayor </w:t>
      </w:r>
      <w:r w:rsidR="00851382">
        <w:rPr>
          <w:rFonts w:ascii="Times New Roman" w:hAnsi="Times New Roman" w:cs="Times New Roman"/>
          <w:sz w:val="24"/>
          <w:szCs w:val="24"/>
          <w:lang w:val="es-ES"/>
        </w:rPr>
        <w:t>crecimiento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6BA1" w:rsidRPr="007E4FE1">
        <w:rPr>
          <w:rFonts w:ascii="Times New Roman" w:hAnsi="Times New Roman" w:cs="Times New Roman"/>
          <w:sz w:val="24"/>
          <w:szCs w:val="24"/>
          <w:lang w:val="es-ES"/>
        </w:rPr>
        <w:t>con relación al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año </w:t>
      </w:r>
      <w:r>
        <w:rPr>
          <w:rFonts w:ascii="Times New Roman" w:hAnsi="Times New Roman" w:cs="Times New Roman"/>
          <w:sz w:val="24"/>
          <w:szCs w:val="24"/>
          <w:lang w:val="es-ES"/>
        </w:rPr>
        <w:t>anterior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fueron: </w:t>
      </w:r>
      <w:r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47.6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 xml:space="preserve">%), 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 xml:space="preserve">Agrícola y Pecuario </w:t>
      </w: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45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.8%) </w:t>
      </w:r>
      <w:r w:rsidR="00CD1843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Incendios y Aliados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42.5</w:t>
      </w:r>
      <w:r>
        <w:rPr>
          <w:rFonts w:ascii="Times New Roman" w:hAnsi="Times New Roman" w:cs="Times New Roman"/>
          <w:sz w:val="24"/>
          <w:szCs w:val="24"/>
          <w:lang w:val="es-ES"/>
        </w:rPr>
        <w:t>%)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. Por otro lado, los ramos de mayor aporte al total de Primas Netas Cobradas fueron: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Incendio y Aliados (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31</w:t>
      </w:r>
      <w:r>
        <w:rPr>
          <w:rFonts w:ascii="Times New Roman" w:hAnsi="Times New Roman" w:cs="Times New Roman"/>
          <w:sz w:val="24"/>
          <w:szCs w:val="24"/>
          <w:lang w:val="es-ES"/>
        </w:rPr>
        <w:t>.2</w:t>
      </w:r>
      <w:r w:rsidRPr="007E4FE1">
        <w:rPr>
          <w:rFonts w:ascii="Times New Roman" w:hAnsi="Times New Roman" w:cs="Times New Roman"/>
          <w:sz w:val="24"/>
          <w:szCs w:val="24"/>
          <w:lang w:val="es-ES"/>
        </w:rPr>
        <w:t>%)</w:t>
      </w:r>
      <w:r>
        <w:rPr>
          <w:rFonts w:ascii="Times New Roman" w:hAnsi="Times New Roman" w:cs="Times New Roman"/>
          <w:sz w:val="24"/>
          <w:szCs w:val="24"/>
          <w:lang w:val="es-ES"/>
        </w:rPr>
        <w:t>, Salud (2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2.6</w:t>
      </w:r>
      <w:r>
        <w:rPr>
          <w:rFonts w:ascii="Times New Roman" w:hAnsi="Times New Roman" w:cs="Times New Roman"/>
          <w:sz w:val="24"/>
          <w:szCs w:val="24"/>
          <w:lang w:val="es-ES"/>
        </w:rPr>
        <w:t>%) y Vehículos de Motor (2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1.9</w:t>
      </w:r>
      <w:r>
        <w:rPr>
          <w:rFonts w:ascii="Times New Roman" w:hAnsi="Times New Roman" w:cs="Times New Roman"/>
          <w:sz w:val="24"/>
          <w:szCs w:val="24"/>
          <w:lang w:val="es-ES"/>
        </w:rPr>
        <w:t>%).</w:t>
      </w:r>
    </w:p>
    <w:p w14:paraId="44C0E9AE" w14:textId="77777777" w:rsidR="009C1B25" w:rsidRDefault="009C1B25" w:rsidP="006E2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B91FB89" w14:textId="0C55F892" w:rsidR="006E2C6F" w:rsidRPr="00F446BC" w:rsidRDefault="006E2C6F" w:rsidP="006E2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Las aseguradoras que mostraron un crecimiento sobresaliente en sus Primas Netas Cobradas </w:t>
      </w:r>
      <w:r>
        <w:rPr>
          <w:rFonts w:ascii="Times New Roman" w:hAnsi="Times New Roman" w:cs="Times New Roman"/>
          <w:sz w:val="24"/>
          <w:szCs w:val="24"/>
          <w:lang w:val="es-ES"/>
        </w:rPr>
        <w:t>al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mes de 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marzo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723C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con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relación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al mismo </w:t>
      </w:r>
      <w:r>
        <w:rPr>
          <w:rFonts w:ascii="Times New Roman" w:hAnsi="Times New Roman" w:cs="Times New Roman"/>
          <w:sz w:val="24"/>
          <w:szCs w:val="24"/>
          <w:lang w:val="es-ES"/>
        </w:rPr>
        <w:t>período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del 20</w:t>
      </w:r>
      <w:r>
        <w:rPr>
          <w:rFonts w:ascii="Times New Roman" w:hAnsi="Times New Roman" w:cs="Times New Roman"/>
          <w:sz w:val="24"/>
          <w:szCs w:val="24"/>
          <w:lang w:val="es-ES"/>
        </w:rPr>
        <w:t>20</w:t>
      </w:r>
      <w:r w:rsidRPr="006D2FA5">
        <w:rPr>
          <w:rFonts w:ascii="Times New Roman" w:hAnsi="Times New Roman" w:cs="Times New Roman"/>
          <w:sz w:val="24"/>
          <w:szCs w:val="24"/>
          <w:lang w:val="es-ES"/>
        </w:rPr>
        <w:t xml:space="preserve"> fueron: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23CB"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Unit, S. A.</w:t>
      </w:r>
      <w:r w:rsidR="00E72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(904.7%), </w:t>
      </w:r>
      <w:proofErr w:type="spellStart"/>
      <w:r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Hylseg</w:t>
      </w:r>
      <w:proofErr w:type="spellEnd"/>
      <w:r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Seguros, S.A.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</w:t>
      </w:r>
      <w:r w:rsidR="00E72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790.1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%) y </w:t>
      </w:r>
      <w:proofErr w:type="spellStart"/>
      <w:r w:rsidR="00E7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Multiseguros</w:t>
      </w:r>
      <w:proofErr w:type="spellEnd"/>
      <w:r w:rsidR="00E72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SU</w:t>
      </w:r>
      <w:r w:rsidRPr="00623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, S. 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 xml:space="preserve"> (1</w:t>
      </w:r>
      <w:r w:rsidR="00E72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46.0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DO" w:eastAsia="es-DO"/>
        </w:rPr>
        <w:t>%).</w:t>
      </w:r>
    </w:p>
    <w:p w14:paraId="5D35B2A4" w14:textId="77777777" w:rsidR="00F572FC" w:rsidRPr="00CD1843" w:rsidRDefault="00F572FC" w:rsidP="006E2C6F">
      <w:pPr>
        <w:rPr>
          <w:lang w:val="es-DO"/>
        </w:rPr>
      </w:pPr>
    </w:p>
    <w:sectPr w:rsidR="00F572FC" w:rsidRPr="00CD1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6F"/>
    <w:rsid w:val="00297A44"/>
    <w:rsid w:val="0034774B"/>
    <w:rsid w:val="00365959"/>
    <w:rsid w:val="00416311"/>
    <w:rsid w:val="0048338A"/>
    <w:rsid w:val="005866BA"/>
    <w:rsid w:val="00606BA1"/>
    <w:rsid w:val="006E2C6F"/>
    <w:rsid w:val="007F4D0E"/>
    <w:rsid w:val="007F7927"/>
    <w:rsid w:val="00823C87"/>
    <w:rsid w:val="00851382"/>
    <w:rsid w:val="009C1B25"/>
    <w:rsid w:val="00AC23D4"/>
    <w:rsid w:val="00C0045E"/>
    <w:rsid w:val="00CD1843"/>
    <w:rsid w:val="00E5535B"/>
    <w:rsid w:val="00E723CB"/>
    <w:rsid w:val="00EF2D49"/>
    <w:rsid w:val="00F572FC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00C8"/>
  <w15:chartTrackingRefBased/>
  <w15:docId w15:val="{A5CA0ED6-7E27-4165-BFDF-3007DBC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6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5</cp:revision>
  <dcterms:created xsi:type="dcterms:W3CDTF">2021-04-26T12:19:00Z</dcterms:created>
  <dcterms:modified xsi:type="dcterms:W3CDTF">2021-05-13T14:06:00Z</dcterms:modified>
</cp:coreProperties>
</file>