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22A" w:rsidRDefault="007E622A" w:rsidP="007E622A">
      <w:pPr>
        <w:jc w:val="center"/>
        <w:rPr>
          <w:b/>
          <w:i/>
          <w:lang w:val="es-E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3C026C2" wp14:editId="3D9BBC0A">
            <wp:simplePos x="0" y="0"/>
            <wp:positionH relativeFrom="leftMargin">
              <wp:align>right</wp:align>
            </wp:positionH>
            <wp:positionV relativeFrom="paragraph">
              <wp:posOffset>-590550</wp:posOffset>
            </wp:positionV>
            <wp:extent cx="552450" cy="581025"/>
            <wp:effectExtent l="0" t="0" r="0" b="9525"/>
            <wp:wrapNone/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lang w:val="es-ES"/>
        </w:rPr>
        <w:t xml:space="preserve">SUPERINTENDENCIA DE SEGUROS DE LA REPÚBLICA DOMINICANA PRIMAS NETAS COBRADAS DE </w:t>
      </w:r>
      <w:r w:rsidR="00A91B92">
        <w:rPr>
          <w:b/>
          <w:i/>
          <w:lang w:val="es-ES"/>
        </w:rPr>
        <w:t>JUNIO</w:t>
      </w:r>
      <w:r>
        <w:rPr>
          <w:b/>
          <w:i/>
          <w:lang w:val="es-ES"/>
        </w:rPr>
        <w:t xml:space="preserve"> DEL 2021</w:t>
      </w:r>
    </w:p>
    <w:p w:rsidR="007E622A" w:rsidRDefault="007E622A" w:rsidP="007E622A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</w:p>
    <w:p w:rsidR="007E622A" w:rsidRPr="003A2E7B" w:rsidRDefault="007E622A" w:rsidP="007E622A">
      <w:pPr>
        <w:spacing w:line="360" w:lineRule="auto"/>
        <w:jc w:val="both"/>
        <w:rPr>
          <w:lang w:val="es-ES"/>
        </w:rPr>
      </w:pPr>
      <w:r w:rsidRPr="00753930">
        <w:rPr>
          <w:lang w:val="es-ES"/>
        </w:rPr>
        <w:t xml:space="preserve">Las Primas Netas </w:t>
      </w:r>
      <w:r>
        <w:rPr>
          <w:lang w:val="es-ES"/>
        </w:rPr>
        <w:t xml:space="preserve">Cobradas (PNC) totalizaron en </w:t>
      </w:r>
      <w:r w:rsidR="00A91B92">
        <w:rPr>
          <w:lang w:val="es-ES"/>
        </w:rPr>
        <w:t>junio</w:t>
      </w:r>
      <w:r>
        <w:rPr>
          <w:lang w:val="es-ES"/>
        </w:rPr>
        <w:t xml:space="preserve"> del 2021 un monto de RD</w:t>
      </w:r>
      <w:r w:rsidRPr="00AA683B">
        <w:rPr>
          <w:lang w:val="es-ES"/>
        </w:rPr>
        <w:t>$</w:t>
      </w:r>
      <w:r w:rsidR="00A91B92">
        <w:rPr>
          <w:lang w:val="es-ES"/>
        </w:rPr>
        <w:t>7,233.</w:t>
      </w:r>
      <w:r w:rsidR="005F138B">
        <w:rPr>
          <w:lang w:val="es-ES"/>
        </w:rPr>
        <w:t>7</w:t>
      </w:r>
      <w:r w:rsidR="00A91B92">
        <w:rPr>
          <w:lang w:val="es-ES"/>
        </w:rPr>
        <w:t xml:space="preserve"> </w:t>
      </w:r>
      <w:r>
        <w:t xml:space="preserve">millones, </w:t>
      </w:r>
      <w:r>
        <w:rPr>
          <w:lang w:val="es-ES"/>
        </w:rPr>
        <w:t>registrando un crecimiento absoluto de</w:t>
      </w:r>
      <w:r w:rsidRPr="00753930">
        <w:rPr>
          <w:lang w:val="es-ES"/>
        </w:rPr>
        <w:t xml:space="preserve"> RD</w:t>
      </w:r>
      <w:r w:rsidRPr="00510311">
        <w:rPr>
          <w:lang w:val="es-ES"/>
        </w:rPr>
        <w:t>$</w:t>
      </w:r>
      <w:r w:rsidR="00A91B92">
        <w:rPr>
          <w:lang w:val="es-ES"/>
        </w:rPr>
        <w:t>1,21</w:t>
      </w:r>
      <w:r w:rsidR="005F138B">
        <w:rPr>
          <w:lang w:val="es-ES"/>
        </w:rPr>
        <w:t>2</w:t>
      </w:r>
      <w:r w:rsidR="00A91B92">
        <w:t xml:space="preserve"> </w:t>
      </w:r>
      <w:r>
        <w:t>millones</w:t>
      </w:r>
      <w:r w:rsidRPr="00904DEB">
        <w:t xml:space="preserve"> </w:t>
      </w:r>
      <w:r>
        <w:rPr>
          <w:lang w:val="es-ES"/>
        </w:rPr>
        <w:t>(</w:t>
      </w:r>
      <w:r w:rsidR="00A0567D">
        <w:rPr>
          <w:lang w:val="es-ES"/>
        </w:rPr>
        <w:t>2</w:t>
      </w:r>
      <w:r w:rsidR="00A91B92">
        <w:rPr>
          <w:lang w:val="es-ES"/>
        </w:rPr>
        <w:t>0.1</w:t>
      </w:r>
      <w:r>
        <w:rPr>
          <w:lang w:val="es-ES"/>
        </w:rPr>
        <w:t>%</w:t>
      </w:r>
      <w:r w:rsidRPr="00753930">
        <w:rPr>
          <w:lang w:val="es-ES"/>
        </w:rPr>
        <w:t xml:space="preserve"> </w:t>
      </w:r>
      <w:r>
        <w:rPr>
          <w:lang w:val="es-ES"/>
        </w:rPr>
        <w:t xml:space="preserve">con respecto </w:t>
      </w:r>
      <w:r w:rsidRPr="00753930">
        <w:rPr>
          <w:lang w:val="es-ES"/>
        </w:rPr>
        <w:t>al</w:t>
      </w:r>
      <w:r>
        <w:rPr>
          <w:lang w:val="es-ES"/>
        </w:rPr>
        <w:t xml:space="preserve"> mismo mes del</w:t>
      </w:r>
      <w:r w:rsidRPr="00753930">
        <w:rPr>
          <w:lang w:val="es-ES"/>
        </w:rPr>
        <w:t xml:space="preserve"> año</w:t>
      </w:r>
      <w:r>
        <w:rPr>
          <w:lang w:val="es-ES"/>
        </w:rPr>
        <w:t xml:space="preserve"> anterior).</w:t>
      </w:r>
    </w:p>
    <w:p w:rsidR="007E622A" w:rsidRPr="00122ED8" w:rsidRDefault="007E622A" w:rsidP="007E622A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622A" w:rsidRDefault="007E622A" w:rsidP="007E622A">
      <w:pPr>
        <w:spacing w:line="360" w:lineRule="auto"/>
        <w:jc w:val="both"/>
      </w:pPr>
      <w:r w:rsidRPr="0050327B">
        <w:t xml:space="preserve">Cabe destacar que, para el mes de </w:t>
      </w:r>
      <w:r w:rsidR="00A91B92">
        <w:t>junio</w:t>
      </w:r>
      <w:r w:rsidR="00C03907">
        <w:t xml:space="preserve"> </w:t>
      </w:r>
      <w:r w:rsidRPr="0050327B">
        <w:t>de</w:t>
      </w:r>
      <w:r>
        <w:t>l</w:t>
      </w:r>
      <w:r w:rsidRPr="0050327B">
        <w:t xml:space="preserve"> 2021 en comparación </w:t>
      </w:r>
      <w:r>
        <w:t>con el</w:t>
      </w:r>
      <w:r w:rsidRPr="0050327B">
        <w:t xml:space="preserve"> mismo período del año 2020, </w:t>
      </w:r>
      <w:r w:rsidR="00CA749F">
        <w:t>en cuanto detalles por ramos se evidenció variaciones positivas en los siguientes ramos</w:t>
      </w:r>
      <w:r w:rsidRPr="0050327B">
        <w:t xml:space="preserve">: </w:t>
      </w:r>
      <w:r w:rsidR="00FB7067">
        <w:rPr>
          <w:bCs/>
        </w:rPr>
        <w:t>Agrícola y Pecuario</w:t>
      </w:r>
      <w:r w:rsidR="009160C2" w:rsidRPr="00356106">
        <w:rPr>
          <w:bCs/>
        </w:rPr>
        <w:t xml:space="preserve"> (</w:t>
      </w:r>
      <w:r w:rsidR="00FB7067">
        <w:rPr>
          <w:bCs/>
        </w:rPr>
        <w:t>314.3</w:t>
      </w:r>
      <w:r w:rsidR="009160C2" w:rsidRPr="00356106">
        <w:rPr>
          <w:bCs/>
        </w:rPr>
        <w:t xml:space="preserve">%), </w:t>
      </w:r>
      <w:r w:rsidR="00FB7067">
        <w:t>Naves Marítimas y Aéreas</w:t>
      </w:r>
      <w:r w:rsidRPr="00356106">
        <w:t xml:space="preserve"> (</w:t>
      </w:r>
      <w:r w:rsidR="00FB7067">
        <w:t>214.8</w:t>
      </w:r>
      <w:r w:rsidRPr="00356106">
        <w:t xml:space="preserve">%) </w:t>
      </w:r>
      <w:r w:rsidR="0028610E">
        <w:t>y Otros Seguros</w:t>
      </w:r>
      <w:r w:rsidR="00A0567D" w:rsidRPr="00356106">
        <w:t xml:space="preserve"> </w:t>
      </w:r>
      <w:r w:rsidRPr="00356106">
        <w:t>(</w:t>
      </w:r>
      <w:r w:rsidR="0028610E">
        <w:t>168.2</w:t>
      </w:r>
      <w:r w:rsidRPr="00356106">
        <w:t>%)</w:t>
      </w:r>
      <w:r w:rsidR="00A0567D" w:rsidRPr="00356106">
        <w:t xml:space="preserve">. </w:t>
      </w:r>
      <w:r w:rsidRPr="00356106">
        <w:rPr>
          <w:bCs/>
        </w:rPr>
        <w:t xml:space="preserve">En sentido contrario, los ramos que mostraron un decrecimiento fueron: </w:t>
      </w:r>
      <w:r w:rsidR="0028610E">
        <w:rPr>
          <w:bCs/>
        </w:rPr>
        <w:t>Fianzas</w:t>
      </w:r>
      <w:r w:rsidRPr="00356106">
        <w:rPr>
          <w:bCs/>
        </w:rPr>
        <w:t xml:space="preserve"> (</w:t>
      </w:r>
      <w:r w:rsidR="0028610E">
        <w:rPr>
          <w:bCs/>
        </w:rPr>
        <w:t>-25.3</w:t>
      </w:r>
      <w:r w:rsidRPr="00356106">
        <w:rPr>
          <w:bCs/>
        </w:rPr>
        <w:t>%)</w:t>
      </w:r>
      <w:r w:rsidR="0028610E">
        <w:rPr>
          <w:bCs/>
        </w:rPr>
        <w:t>, Vida Individual</w:t>
      </w:r>
      <w:r w:rsidR="00A0567D" w:rsidRPr="00356106">
        <w:rPr>
          <w:bCs/>
        </w:rPr>
        <w:t xml:space="preserve"> (</w:t>
      </w:r>
      <w:r w:rsidR="0028610E">
        <w:rPr>
          <w:bCs/>
        </w:rPr>
        <w:t>-20.4</w:t>
      </w:r>
      <w:r w:rsidR="00A0567D" w:rsidRPr="00356106">
        <w:rPr>
          <w:bCs/>
        </w:rPr>
        <w:t>%)</w:t>
      </w:r>
      <w:r w:rsidR="0028610E">
        <w:rPr>
          <w:bCs/>
        </w:rPr>
        <w:t xml:space="preserve"> y Salud (-1.2)</w:t>
      </w:r>
      <w:r w:rsidRPr="00356106">
        <w:rPr>
          <w:bCs/>
        </w:rPr>
        <w:t>.</w:t>
      </w:r>
      <w:r w:rsidRPr="00356106">
        <w:t xml:space="preserve"> </w:t>
      </w:r>
      <w:r w:rsidR="005F138B">
        <w:t>Cabe destacar que</w:t>
      </w:r>
      <w:r w:rsidRPr="00356106">
        <w:t xml:space="preserve"> los ramos de mayor representatividad en el total de Primas Netas Cobradas fueron: Incendios y Aliados (</w:t>
      </w:r>
      <w:r w:rsidR="0028610E">
        <w:t>26.6</w:t>
      </w:r>
      <w:r w:rsidRPr="00356106">
        <w:t xml:space="preserve">%) y </w:t>
      </w:r>
      <w:r w:rsidR="00AF4932" w:rsidRPr="00356106">
        <w:t>Salud</w:t>
      </w:r>
      <w:r w:rsidRPr="00356106">
        <w:t xml:space="preserve"> (</w:t>
      </w:r>
      <w:r w:rsidR="0028610E">
        <w:t>22.3</w:t>
      </w:r>
      <w:r w:rsidRPr="00356106">
        <w:t>%).</w:t>
      </w:r>
    </w:p>
    <w:p w:rsidR="007E622A" w:rsidRPr="0050327B" w:rsidRDefault="007E622A" w:rsidP="007E622A">
      <w:pPr>
        <w:spacing w:line="360" w:lineRule="auto"/>
        <w:jc w:val="both"/>
        <w:rPr>
          <w:bCs/>
        </w:rPr>
      </w:pPr>
    </w:p>
    <w:p w:rsidR="007E622A" w:rsidRPr="00B82DD2" w:rsidRDefault="007E622A" w:rsidP="007E622A">
      <w:pPr>
        <w:spacing w:line="360" w:lineRule="auto"/>
        <w:jc w:val="both"/>
        <w:rPr>
          <w:b/>
          <w:bCs/>
          <w:color w:val="000000"/>
        </w:rPr>
      </w:pPr>
      <w:r w:rsidRPr="00510311">
        <w:t xml:space="preserve">Las Primas Netas Cobradas No Exoneradas </w:t>
      </w:r>
      <w:r>
        <w:t>totalizaron</w:t>
      </w:r>
      <w:r w:rsidRPr="00510311">
        <w:t xml:space="preserve"> un monto de RD$</w:t>
      </w:r>
      <w:r w:rsidR="001E0393">
        <w:rPr>
          <w:rFonts w:cs="Arial"/>
          <w:bCs/>
        </w:rPr>
        <w:t xml:space="preserve">4,739.6 </w:t>
      </w:r>
      <w:r>
        <w:rPr>
          <w:bCs/>
        </w:rPr>
        <w:t>millones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b/>
          <w:bCs/>
        </w:rPr>
        <w:t xml:space="preserve"> </w:t>
      </w:r>
      <w:r w:rsidRPr="00510311">
        <w:rPr>
          <w:bCs/>
          <w:color w:val="000000"/>
        </w:rPr>
        <w:t xml:space="preserve">representando </w:t>
      </w:r>
      <w:r>
        <w:rPr>
          <w:bCs/>
          <w:color w:val="000000"/>
        </w:rPr>
        <w:t>(</w:t>
      </w:r>
      <w:r w:rsidR="001E0393">
        <w:rPr>
          <w:bCs/>
          <w:color w:val="000000"/>
        </w:rPr>
        <w:t>65.5</w:t>
      </w:r>
      <w:r w:rsidRPr="00510311">
        <w:rPr>
          <w:bCs/>
          <w:color w:val="000000"/>
        </w:rPr>
        <w:t>%</w:t>
      </w:r>
      <w:r>
        <w:rPr>
          <w:bCs/>
          <w:color w:val="000000"/>
        </w:rPr>
        <w:t>)</w:t>
      </w:r>
      <w:r w:rsidRPr="00510311">
        <w:rPr>
          <w:bCs/>
          <w:color w:val="000000"/>
        </w:rPr>
        <w:t xml:space="preserve"> del total de Primas Netas Cobradas en el mes de</w:t>
      </w:r>
      <w:r>
        <w:rPr>
          <w:bCs/>
          <w:color w:val="000000"/>
        </w:rPr>
        <w:t xml:space="preserve"> </w:t>
      </w:r>
      <w:r w:rsidR="001E0393">
        <w:rPr>
          <w:bCs/>
          <w:color w:val="000000"/>
        </w:rPr>
        <w:t>junio</w:t>
      </w:r>
      <w:r>
        <w:rPr>
          <w:bCs/>
          <w:color w:val="000000"/>
        </w:rPr>
        <w:t xml:space="preserve"> del año 2021.</w:t>
      </w:r>
      <w:r w:rsidRPr="00510311">
        <w:rPr>
          <w:bCs/>
          <w:color w:val="000000"/>
        </w:rPr>
        <w:t xml:space="preserve"> </w:t>
      </w:r>
      <w:r>
        <w:rPr>
          <w:bCs/>
          <w:color w:val="000000"/>
        </w:rPr>
        <w:t>M</w:t>
      </w:r>
      <w:r w:rsidRPr="00510311">
        <w:rPr>
          <w:bCs/>
          <w:color w:val="000000"/>
        </w:rPr>
        <w:t>ientras que</w:t>
      </w:r>
      <w:r>
        <w:rPr>
          <w:bCs/>
          <w:color w:val="000000"/>
        </w:rPr>
        <w:t>,</w:t>
      </w:r>
      <w:r w:rsidRPr="00510311">
        <w:rPr>
          <w:bCs/>
          <w:color w:val="000000"/>
        </w:rPr>
        <w:t xml:space="preserve"> las Primas Exoneradas de impuestos fueron de RD</w:t>
      </w:r>
      <w:r w:rsidRPr="003F1147">
        <w:rPr>
          <w:bCs/>
          <w:color w:val="000000"/>
        </w:rPr>
        <w:t>$</w:t>
      </w:r>
      <w:r w:rsidR="001E0393">
        <w:rPr>
          <w:bCs/>
          <w:color w:val="000000"/>
        </w:rPr>
        <w:t>2,494.0</w:t>
      </w:r>
      <w:r>
        <w:rPr>
          <w:bCs/>
          <w:color w:val="000000"/>
        </w:rPr>
        <w:t xml:space="preserve"> millones</w:t>
      </w:r>
      <w:r w:rsidR="00CA749F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>
        <w:rPr>
          <w:bCs/>
        </w:rPr>
        <w:t>para una participación (</w:t>
      </w:r>
      <w:r w:rsidR="001E0393">
        <w:rPr>
          <w:bCs/>
        </w:rPr>
        <w:t>34.5</w:t>
      </w:r>
      <w:r>
        <w:rPr>
          <w:bCs/>
        </w:rPr>
        <w:t>%) del total</w:t>
      </w:r>
      <w:r w:rsidRPr="00510311">
        <w:rPr>
          <w:bCs/>
          <w:color w:val="000000"/>
        </w:rPr>
        <w:t xml:space="preserve">. Los ramos con mayor participación </w:t>
      </w:r>
      <w:r>
        <w:rPr>
          <w:bCs/>
          <w:color w:val="000000"/>
        </w:rPr>
        <w:t xml:space="preserve">en el total </w:t>
      </w:r>
      <w:r w:rsidRPr="00510311">
        <w:rPr>
          <w:bCs/>
          <w:color w:val="000000"/>
        </w:rPr>
        <w:t>Primas Netas Cobradas Exoneradas</w:t>
      </w:r>
      <w:r>
        <w:rPr>
          <w:bCs/>
          <w:color w:val="000000"/>
        </w:rPr>
        <w:t xml:space="preserve"> fueron: </w:t>
      </w:r>
      <w:r>
        <w:t>Salud (</w:t>
      </w:r>
      <w:r w:rsidRPr="00CA749F">
        <w:t>6</w:t>
      </w:r>
      <w:r w:rsidR="00CA749F" w:rsidRPr="00CA749F">
        <w:t>4.7</w:t>
      </w:r>
      <w:r w:rsidRPr="00CA749F">
        <w:t>%)</w:t>
      </w:r>
      <w:r w:rsidRPr="00CA749F">
        <w:rPr>
          <w:lang w:val="es-ES"/>
        </w:rPr>
        <w:t xml:space="preserve"> y Vida Colectivo (2</w:t>
      </w:r>
      <w:r w:rsidR="00CA749F" w:rsidRPr="00CA749F">
        <w:rPr>
          <w:lang w:val="es-ES"/>
        </w:rPr>
        <w:t>3.</w:t>
      </w:r>
      <w:r w:rsidR="00CA749F">
        <w:rPr>
          <w:lang w:val="es-ES"/>
        </w:rPr>
        <w:t>5</w:t>
      </w:r>
      <w:r w:rsidRPr="00CA749F">
        <w:rPr>
          <w:lang w:val="es-ES"/>
        </w:rPr>
        <w:t>%) de aporte al total de Primas Exoneradas de impuestos, respectivamente.</w:t>
      </w:r>
    </w:p>
    <w:p w:rsidR="007E622A" w:rsidRPr="00AF4932" w:rsidRDefault="007E622A" w:rsidP="007E622A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</w:p>
    <w:p w:rsidR="007E622A" w:rsidRDefault="007E622A" w:rsidP="007E622A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  <w:r w:rsidRPr="003550D4">
        <w:rPr>
          <w:b/>
          <w:i/>
          <w:lang w:val="es-ES"/>
        </w:rPr>
        <w:t>PRIMERAS DIEZ COMPAÑIAS DEL MES</w:t>
      </w:r>
    </w:p>
    <w:p w:rsidR="007E622A" w:rsidRPr="005E2626" w:rsidRDefault="007E622A" w:rsidP="007E622A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</w:p>
    <w:p w:rsidR="007E622A" w:rsidRDefault="007E622A" w:rsidP="007E622A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>
        <w:rPr>
          <w:lang w:val="es-ES"/>
        </w:rPr>
        <w:t xml:space="preserve">Estas diez compañías representan el </w:t>
      </w:r>
      <w:r w:rsidR="00B85EF9">
        <w:rPr>
          <w:lang w:val="es-ES"/>
        </w:rPr>
        <w:t>8</w:t>
      </w:r>
      <w:r w:rsidR="005406B3">
        <w:rPr>
          <w:lang w:val="es-ES"/>
        </w:rPr>
        <w:t>8.8</w:t>
      </w:r>
      <w:r w:rsidRPr="00EA3861">
        <w:rPr>
          <w:lang w:val="es-ES"/>
        </w:rPr>
        <w:t>%</w:t>
      </w:r>
      <w:r>
        <w:rPr>
          <w:lang w:val="es-ES"/>
        </w:rPr>
        <w:t xml:space="preserve"> </w:t>
      </w:r>
      <w:r w:rsidR="00A91B92">
        <w:rPr>
          <w:lang w:val="es-ES"/>
        </w:rPr>
        <w:t xml:space="preserve">de la cuota de mercado </w:t>
      </w:r>
      <w:r>
        <w:rPr>
          <w:lang w:val="es-ES"/>
        </w:rPr>
        <w:t>de</w:t>
      </w:r>
      <w:r w:rsidR="00DA2B0D">
        <w:rPr>
          <w:lang w:val="es-ES"/>
        </w:rPr>
        <w:t>l volumen</w:t>
      </w:r>
      <w:r w:rsidR="00A91B92">
        <w:rPr>
          <w:lang w:val="es-ES"/>
        </w:rPr>
        <w:t xml:space="preserve"> total de</w:t>
      </w:r>
      <w:r>
        <w:rPr>
          <w:lang w:val="es-ES"/>
        </w:rPr>
        <w:t xml:space="preserve"> las Primas Netas Cobradas por el sector asegurador dominicano durante el mes </w:t>
      </w:r>
      <w:r w:rsidR="001E0393">
        <w:rPr>
          <w:lang w:val="es-ES"/>
        </w:rPr>
        <w:t>junio</w:t>
      </w:r>
      <w:r>
        <w:rPr>
          <w:lang w:val="es-ES"/>
        </w:rPr>
        <w:t xml:space="preserve"> del año 2021:</w:t>
      </w:r>
      <w:bookmarkStart w:id="0" w:name="_GoBack"/>
      <w:bookmarkEnd w:id="0"/>
    </w:p>
    <w:p w:rsidR="007E622A" w:rsidRDefault="007E622A" w:rsidP="007E622A">
      <w:pPr>
        <w:autoSpaceDE w:val="0"/>
        <w:autoSpaceDN w:val="0"/>
        <w:adjustRightInd w:val="0"/>
        <w:spacing w:line="360" w:lineRule="auto"/>
        <w:rPr>
          <w:b/>
          <w:lang w:val="es-ES"/>
        </w:rPr>
      </w:pPr>
    </w:p>
    <w:p w:rsidR="007E622A" w:rsidRDefault="007E622A" w:rsidP="007E622A">
      <w:pPr>
        <w:keepNext/>
        <w:keepLines/>
        <w:spacing w:after="160" w:line="259" w:lineRule="auto"/>
        <w:jc w:val="center"/>
        <w:rPr>
          <w:b/>
          <w:lang w:val="es-ES"/>
        </w:rPr>
      </w:pPr>
      <w:r>
        <w:rPr>
          <w:b/>
          <w:lang w:val="es-ES"/>
        </w:rPr>
        <w:br w:type="page"/>
      </w:r>
    </w:p>
    <w:p w:rsidR="007E622A" w:rsidRDefault="007E622A" w:rsidP="007E622A">
      <w:pPr>
        <w:keepNext/>
        <w:keepLines/>
        <w:spacing w:after="160" w:line="259" w:lineRule="auto"/>
        <w:jc w:val="center"/>
        <w:rPr>
          <w:b/>
          <w:lang w:val="es-ES"/>
        </w:rPr>
      </w:pPr>
      <w:r>
        <w:rPr>
          <w:b/>
          <w:lang w:val="es-ES"/>
        </w:rPr>
        <w:lastRenderedPageBreak/>
        <w:t>Las 10 compañías más importantes del mes de</w:t>
      </w:r>
      <w:r w:rsidR="001E0393">
        <w:rPr>
          <w:b/>
          <w:lang w:val="es-ES"/>
        </w:rPr>
        <w:t xml:space="preserve"> junio</w:t>
      </w:r>
      <w:r>
        <w:rPr>
          <w:b/>
          <w:lang w:val="es-ES"/>
        </w:rPr>
        <w:t xml:space="preserve"> de 2021</w:t>
      </w:r>
    </w:p>
    <w:tbl>
      <w:tblPr>
        <w:tblW w:w="90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363"/>
        <w:gridCol w:w="1924"/>
        <w:gridCol w:w="123"/>
        <w:gridCol w:w="240"/>
        <w:gridCol w:w="2197"/>
      </w:tblGrid>
      <w:tr w:rsidR="00EA3861" w:rsidRPr="00EA3861" w:rsidTr="00B85EF9">
        <w:trPr>
          <w:trHeight w:val="30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Compañías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Posicionamiento</w:t>
            </w:r>
          </w:p>
        </w:tc>
      </w:tr>
      <w:tr w:rsidR="00EA3861" w:rsidRPr="00EA3861" w:rsidTr="00B85EF9">
        <w:trPr>
          <w:trHeight w:val="30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861" w:rsidRPr="00EA3861" w:rsidRDefault="00EA3861" w:rsidP="00EA3861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</w:tr>
      <w:tr w:rsidR="00EA3861" w:rsidRPr="00EA3861" w:rsidTr="00B85EF9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Seguros Universal, S. A.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61" w:rsidRPr="00EA3861" w:rsidRDefault="003A5E19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E19">
              <w:rPr>
                <w:rFonts w:ascii="Arial" w:hAnsi="Arial" w:cs="Arial"/>
                <w:sz w:val="20"/>
                <w:szCs w:val="20"/>
              </w:rPr>
              <w:t>1,361,931,058.44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61" w:rsidRPr="00EA3861" w:rsidRDefault="00B85EF9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F9">
              <w:rPr>
                <w:rFonts w:ascii="Arial" w:hAnsi="Arial" w:cs="Arial"/>
                <w:sz w:val="20"/>
                <w:szCs w:val="20"/>
              </w:rPr>
              <w:t>1,810,211,285.90</w:t>
            </w:r>
          </w:p>
        </w:tc>
      </w:tr>
      <w:tr w:rsidR="00EA3861" w:rsidRPr="00EA3861" w:rsidTr="00B85EF9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Humano Seguros, S. A.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61" w:rsidRPr="00EA3861" w:rsidRDefault="003A5E19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E19">
              <w:rPr>
                <w:rFonts w:ascii="Arial" w:hAnsi="Arial" w:cs="Arial"/>
                <w:sz w:val="20"/>
                <w:szCs w:val="20"/>
              </w:rPr>
              <w:t>1,032,570,960.97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61" w:rsidRPr="00EA3861" w:rsidRDefault="00B85EF9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F9">
              <w:rPr>
                <w:rFonts w:ascii="Arial" w:hAnsi="Arial" w:cs="Arial"/>
                <w:sz w:val="20"/>
                <w:szCs w:val="20"/>
              </w:rPr>
              <w:t>1,064,615,378.29</w:t>
            </w:r>
          </w:p>
        </w:tc>
      </w:tr>
      <w:tr w:rsidR="00EA3861" w:rsidRPr="00EA3861" w:rsidTr="00B85EF9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Seguros Reservas, S. A.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61" w:rsidRPr="00EA3861" w:rsidRDefault="003A5E19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E19">
              <w:rPr>
                <w:rFonts w:ascii="Arial" w:hAnsi="Arial" w:cs="Arial"/>
                <w:sz w:val="20"/>
                <w:szCs w:val="20"/>
              </w:rPr>
              <w:t>901,869,680.86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61" w:rsidRPr="00EA3861" w:rsidRDefault="00B85EF9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F9">
              <w:rPr>
                <w:rFonts w:ascii="Arial" w:hAnsi="Arial" w:cs="Arial"/>
                <w:sz w:val="20"/>
                <w:szCs w:val="20"/>
              </w:rPr>
              <w:t>986,850,324.67</w:t>
            </w:r>
          </w:p>
        </w:tc>
      </w:tr>
      <w:tr w:rsidR="00EA3861" w:rsidRPr="00EA3861" w:rsidTr="00B85EF9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MAPFRE BHD Cía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A3861">
              <w:rPr>
                <w:rFonts w:ascii="Arial" w:hAnsi="Arial" w:cs="Arial"/>
                <w:sz w:val="20"/>
                <w:szCs w:val="20"/>
              </w:rPr>
              <w:t xml:space="preserve"> de Seguros, S. A.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61" w:rsidRPr="00EA3861" w:rsidRDefault="003A5E19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E19">
              <w:rPr>
                <w:rFonts w:ascii="Arial" w:hAnsi="Arial" w:cs="Arial"/>
                <w:sz w:val="20"/>
                <w:szCs w:val="20"/>
              </w:rPr>
              <w:t>641,799,505.10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61" w:rsidRPr="00EA3861" w:rsidRDefault="00B85EF9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F9">
              <w:rPr>
                <w:rFonts w:ascii="Arial" w:hAnsi="Arial" w:cs="Arial"/>
                <w:sz w:val="20"/>
                <w:szCs w:val="20"/>
              </w:rPr>
              <w:t>895,010,120.43</w:t>
            </w:r>
          </w:p>
        </w:tc>
      </w:tr>
      <w:tr w:rsidR="00EA3861" w:rsidRPr="00EA3861" w:rsidTr="00B85EF9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La Colonial de Seguros, S. A.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283BE3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61" w:rsidRPr="00EA3861" w:rsidRDefault="003A5E19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E19">
              <w:rPr>
                <w:rFonts w:ascii="Arial" w:hAnsi="Arial" w:cs="Arial"/>
                <w:sz w:val="20"/>
                <w:szCs w:val="20"/>
              </w:rPr>
              <w:t>550,466,192.42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61" w:rsidRPr="00EA3861" w:rsidRDefault="00B85EF9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F9">
              <w:rPr>
                <w:rFonts w:ascii="Arial" w:hAnsi="Arial" w:cs="Arial"/>
                <w:sz w:val="20"/>
                <w:szCs w:val="20"/>
              </w:rPr>
              <w:t>572,305,641.08</w:t>
            </w:r>
          </w:p>
        </w:tc>
      </w:tr>
      <w:tr w:rsidR="00EA3861" w:rsidRPr="00EA3861" w:rsidTr="00B85EF9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Seguros Sura, S. A.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283BE3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61" w:rsidRPr="00EA3861" w:rsidRDefault="003A5E19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E19">
              <w:rPr>
                <w:rFonts w:ascii="Arial" w:hAnsi="Arial" w:cs="Arial"/>
                <w:sz w:val="20"/>
                <w:szCs w:val="20"/>
              </w:rPr>
              <w:t>371,929,480.09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61" w:rsidRPr="00EA3861" w:rsidRDefault="00B85EF9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F9">
              <w:rPr>
                <w:rFonts w:ascii="Arial" w:hAnsi="Arial" w:cs="Arial"/>
                <w:sz w:val="20"/>
                <w:szCs w:val="20"/>
              </w:rPr>
              <w:t>414,833,765.36</w:t>
            </w:r>
          </w:p>
        </w:tc>
      </w:tr>
      <w:tr w:rsidR="00EA3861" w:rsidRPr="00EA3861" w:rsidTr="00B85EF9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61" w:rsidRPr="00EA3861" w:rsidRDefault="00B85EF9" w:rsidP="00EA386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B85EF9">
              <w:rPr>
                <w:rFonts w:ascii="Arial" w:hAnsi="Arial" w:cs="Arial"/>
                <w:sz w:val="20"/>
                <w:szCs w:val="20"/>
              </w:rPr>
              <w:t>Seguros Crecer, S. A.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3A5E19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61" w:rsidRPr="00EA3861" w:rsidRDefault="003A5E19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E19">
              <w:rPr>
                <w:rFonts w:ascii="Arial" w:hAnsi="Arial" w:cs="Arial"/>
                <w:sz w:val="20"/>
                <w:szCs w:val="20"/>
              </w:rPr>
              <w:t>115,436,543.26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3A5E19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61" w:rsidRPr="00EA3861" w:rsidRDefault="00B85EF9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F9">
              <w:rPr>
                <w:rFonts w:ascii="Arial" w:hAnsi="Arial" w:cs="Arial"/>
                <w:sz w:val="20"/>
                <w:szCs w:val="20"/>
              </w:rPr>
              <w:t>240,689,510.34</w:t>
            </w:r>
          </w:p>
        </w:tc>
      </w:tr>
      <w:tr w:rsidR="00EA3861" w:rsidRPr="00EA3861" w:rsidTr="00B85EF9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61" w:rsidRPr="00EA3861" w:rsidRDefault="00B85EF9" w:rsidP="00EA386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B85EF9">
              <w:rPr>
                <w:rFonts w:ascii="Arial" w:hAnsi="Arial" w:cs="Arial"/>
                <w:sz w:val="20"/>
                <w:szCs w:val="20"/>
              </w:rPr>
              <w:t>Seguros Worldwide, S. A.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3A5E19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61" w:rsidRPr="00EA3861" w:rsidRDefault="003A5E19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E19">
              <w:rPr>
                <w:rFonts w:ascii="Arial" w:hAnsi="Arial" w:cs="Arial"/>
                <w:sz w:val="20"/>
                <w:szCs w:val="20"/>
              </w:rPr>
              <w:t>210,386,229.27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3A5E19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61" w:rsidRPr="00EA3861" w:rsidRDefault="00B85EF9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F9">
              <w:rPr>
                <w:rFonts w:ascii="Arial" w:hAnsi="Arial" w:cs="Arial"/>
                <w:sz w:val="20"/>
                <w:szCs w:val="20"/>
              </w:rPr>
              <w:t>203,262,331.50</w:t>
            </w:r>
          </w:p>
        </w:tc>
      </w:tr>
      <w:tr w:rsidR="00EA3861" w:rsidRPr="00EA3861" w:rsidTr="00B85EF9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61" w:rsidRPr="00EA3861" w:rsidRDefault="00B85EF9" w:rsidP="00EA386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B85EF9">
              <w:rPr>
                <w:rFonts w:ascii="Arial" w:hAnsi="Arial" w:cs="Arial"/>
                <w:sz w:val="20"/>
                <w:szCs w:val="20"/>
              </w:rPr>
              <w:t>Aseguradora Agropecuaria Dominicana. S. A.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3A5E19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61" w:rsidRPr="00EA3861" w:rsidRDefault="003A5E19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E19">
              <w:rPr>
                <w:rFonts w:ascii="Arial" w:hAnsi="Arial" w:cs="Arial"/>
                <w:sz w:val="20"/>
                <w:szCs w:val="20"/>
              </w:rPr>
              <w:t>33,067,014</w:t>
            </w:r>
            <w:r>
              <w:rPr>
                <w:rFonts w:ascii="Arial" w:hAnsi="Arial" w:cs="Arial"/>
                <w:sz w:val="20"/>
                <w:szCs w:val="20"/>
              </w:rPr>
              <w:t>.61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3A5E19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61" w:rsidRPr="00EA3861" w:rsidRDefault="00B85EF9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F9">
              <w:rPr>
                <w:rFonts w:ascii="Arial" w:hAnsi="Arial" w:cs="Arial"/>
                <w:sz w:val="20"/>
                <w:szCs w:val="20"/>
              </w:rPr>
              <w:t>133,459,254.10</w:t>
            </w:r>
          </w:p>
        </w:tc>
      </w:tr>
      <w:tr w:rsidR="00EA3861" w:rsidRPr="00EA3861" w:rsidTr="00B85EF9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61" w:rsidRPr="00EA3861" w:rsidRDefault="00B85EF9" w:rsidP="00EA386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B85EF9">
              <w:rPr>
                <w:rFonts w:ascii="Arial" w:hAnsi="Arial" w:cs="Arial"/>
                <w:sz w:val="20"/>
                <w:szCs w:val="20"/>
              </w:rPr>
              <w:t>General de Seguros, S. A.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3A5E19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61" w:rsidRPr="00EA3861" w:rsidRDefault="003A5E19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E19">
              <w:rPr>
                <w:rFonts w:ascii="Arial" w:hAnsi="Arial" w:cs="Arial"/>
                <w:sz w:val="20"/>
                <w:szCs w:val="20"/>
              </w:rPr>
              <w:t>127,048,580.49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861" w:rsidRPr="00EA3861" w:rsidRDefault="00EA3861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6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61" w:rsidRPr="00EA3861" w:rsidRDefault="00B85EF9" w:rsidP="00EA386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EF9">
              <w:rPr>
                <w:rFonts w:ascii="Arial" w:hAnsi="Arial" w:cs="Arial"/>
                <w:sz w:val="20"/>
                <w:szCs w:val="20"/>
              </w:rPr>
              <w:t>129,617,037.83</w:t>
            </w:r>
          </w:p>
        </w:tc>
      </w:tr>
    </w:tbl>
    <w:p w:rsidR="007E622A" w:rsidRPr="00EA3861" w:rsidRDefault="007E622A" w:rsidP="00EA3861">
      <w:pPr>
        <w:keepNext/>
        <w:keepLines/>
        <w:spacing w:line="360" w:lineRule="auto"/>
        <w:rPr>
          <w:rFonts w:ascii="Arial" w:hAnsi="Arial" w:cs="Arial"/>
          <w:sz w:val="14"/>
          <w:szCs w:val="14"/>
          <w:lang w:val="es-ES"/>
        </w:rPr>
      </w:pPr>
      <w:bookmarkStart w:id="1" w:name="_Hlk63074929"/>
      <w:r w:rsidRPr="00E625BB">
        <w:rPr>
          <w:rFonts w:ascii="Arial" w:hAnsi="Arial" w:cs="Arial"/>
          <w:sz w:val="14"/>
          <w:szCs w:val="14"/>
        </w:rPr>
        <w:t xml:space="preserve">Fuente: Superintendencia de Seguros, </w:t>
      </w:r>
      <w:r>
        <w:rPr>
          <w:rFonts w:ascii="Arial" w:hAnsi="Arial" w:cs="Arial"/>
          <w:sz w:val="14"/>
          <w:szCs w:val="14"/>
        </w:rPr>
        <w:t>Dirección</w:t>
      </w:r>
      <w:r w:rsidRPr="00E625BB">
        <w:rPr>
          <w:rFonts w:ascii="Arial" w:hAnsi="Arial" w:cs="Arial"/>
          <w:sz w:val="14"/>
          <w:szCs w:val="14"/>
        </w:rPr>
        <w:t xml:space="preserve"> de Análisis Financiero y Estadísticas</w:t>
      </w:r>
      <w:bookmarkEnd w:id="1"/>
      <w:r>
        <w:rPr>
          <w:rFonts w:ascii="Arial" w:hAnsi="Arial" w:cs="Arial"/>
          <w:sz w:val="14"/>
          <w:szCs w:val="14"/>
        </w:rPr>
        <w:t>.</w:t>
      </w:r>
    </w:p>
    <w:p w:rsidR="007E622A" w:rsidRPr="00D07C3C" w:rsidRDefault="007E622A" w:rsidP="007E622A">
      <w:pPr>
        <w:spacing w:line="360" w:lineRule="auto"/>
        <w:rPr>
          <w:rFonts w:ascii="Arial" w:hAnsi="Arial" w:cs="Arial"/>
          <w:sz w:val="14"/>
          <w:szCs w:val="14"/>
          <w:lang w:val="es-ES"/>
        </w:rPr>
      </w:pPr>
    </w:p>
    <w:p w:rsidR="007E622A" w:rsidRPr="00320737" w:rsidRDefault="007E622A" w:rsidP="007E622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A7D41">
        <w:rPr>
          <w:lang w:val="es-ES"/>
        </w:rPr>
        <w:t>Durante este mes, las aseguradoras que mostraron un mayor crecimiento respecto al mismo período del año anterior fueron</w:t>
      </w:r>
      <w:r w:rsidR="0028610E">
        <w:rPr>
          <w:lang w:val="es-ES"/>
        </w:rPr>
        <w:t xml:space="preserve">: </w:t>
      </w:r>
      <w:r>
        <w:rPr>
          <w:b/>
          <w:bCs/>
          <w:color w:val="000000"/>
        </w:rPr>
        <w:t>Unit, S. A</w:t>
      </w:r>
      <w:r w:rsidRPr="003A7D41">
        <w:rPr>
          <w:b/>
          <w:bCs/>
          <w:color w:val="000000"/>
        </w:rPr>
        <w:t>.</w:t>
      </w:r>
      <w:r w:rsidRPr="003A7D41">
        <w:rPr>
          <w:bCs/>
          <w:color w:val="000000"/>
        </w:rPr>
        <w:t xml:space="preserve"> (</w:t>
      </w:r>
      <w:r w:rsidR="0028610E">
        <w:rPr>
          <w:bCs/>
          <w:color w:val="000000"/>
        </w:rPr>
        <w:t>535.8</w:t>
      </w:r>
      <w:r w:rsidRPr="003A7D41">
        <w:rPr>
          <w:bCs/>
          <w:color w:val="000000"/>
        </w:rPr>
        <w:t>%)</w:t>
      </w:r>
      <w:r w:rsidR="0028610E">
        <w:rPr>
          <w:bCs/>
          <w:color w:val="000000"/>
        </w:rPr>
        <w:t xml:space="preserve">, </w:t>
      </w:r>
      <w:r w:rsidR="0028610E">
        <w:rPr>
          <w:b/>
          <w:bCs/>
          <w:color w:val="000000"/>
        </w:rPr>
        <w:t>Aseguradora Agropecuaria Dominicana, S. A.</w:t>
      </w:r>
      <w:r w:rsidR="00320737" w:rsidRPr="00320737">
        <w:rPr>
          <w:b/>
          <w:bCs/>
          <w:color w:val="000000"/>
        </w:rPr>
        <w:t xml:space="preserve"> </w:t>
      </w:r>
      <w:r w:rsidR="00320737" w:rsidRPr="00320737">
        <w:rPr>
          <w:bCs/>
          <w:color w:val="000000"/>
        </w:rPr>
        <w:t>(</w:t>
      </w:r>
      <w:r w:rsidR="0028610E">
        <w:rPr>
          <w:bCs/>
          <w:color w:val="000000"/>
        </w:rPr>
        <w:t>303.6</w:t>
      </w:r>
      <w:r w:rsidR="00320737" w:rsidRPr="00320737">
        <w:rPr>
          <w:bCs/>
          <w:color w:val="000000"/>
        </w:rPr>
        <w:t>%)</w:t>
      </w:r>
      <w:r w:rsidR="0028610E">
        <w:rPr>
          <w:bCs/>
          <w:color w:val="000000"/>
        </w:rPr>
        <w:t xml:space="preserve"> y </w:t>
      </w:r>
      <w:r w:rsidR="0028610E" w:rsidRPr="0028610E">
        <w:rPr>
          <w:b/>
          <w:bCs/>
          <w:color w:val="000000"/>
        </w:rPr>
        <w:t>Hylseg Seguros, S. A.</w:t>
      </w:r>
      <w:r w:rsidR="0028610E" w:rsidRPr="0028610E">
        <w:rPr>
          <w:bCs/>
          <w:color w:val="000000"/>
        </w:rPr>
        <w:t xml:space="preserve"> </w:t>
      </w:r>
      <w:r w:rsidR="0028610E">
        <w:rPr>
          <w:bCs/>
          <w:color w:val="000000"/>
        </w:rPr>
        <w:t>(210.1%).</w:t>
      </w:r>
    </w:p>
    <w:p w:rsidR="007E622A" w:rsidRDefault="007E622A" w:rsidP="007E622A">
      <w:pPr>
        <w:spacing w:line="360" w:lineRule="auto"/>
        <w:jc w:val="both"/>
        <w:rPr>
          <w:bCs/>
          <w:color w:val="000000"/>
        </w:rPr>
      </w:pPr>
    </w:p>
    <w:p w:rsidR="007E622A" w:rsidRDefault="007E622A" w:rsidP="007E622A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  <w:r>
        <w:t xml:space="preserve">                                         </w:t>
      </w:r>
      <w:r>
        <w:rPr>
          <w:b/>
          <w:i/>
          <w:lang w:val="es-ES"/>
        </w:rPr>
        <w:t xml:space="preserve">CONSOLIDADO </w:t>
      </w:r>
      <w:r w:rsidR="001E0393">
        <w:rPr>
          <w:b/>
          <w:i/>
          <w:lang w:val="es-ES"/>
        </w:rPr>
        <w:t>JUNIO</w:t>
      </w:r>
      <w:r>
        <w:rPr>
          <w:b/>
          <w:i/>
          <w:lang w:val="es-ES"/>
        </w:rPr>
        <w:t xml:space="preserve"> 2021</w:t>
      </w:r>
    </w:p>
    <w:p w:rsidR="007E622A" w:rsidRDefault="007E622A" w:rsidP="007E622A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</w:p>
    <w:p w:rsidR="007E622A" w:rsidRDefault="007E622A" w:rsidP="007E622A">
      <w:pPr>
        <w:spacing w:line="360" w:lineRule="auto"/>
        <w:jc w:val="both"/>
        <w:rPr>
          <w:lang w:val="es-ES"/>
        </w:rPr>
      </w:pPr>
      <w:r w:rsidRPr="007E4FE1">
        <w:rPr>
          <w:lang w:val="es-ES"/>
        </w:rPr>
        <w:t xml:space="preserve">De </w:t>
      </w:r>
      <w:r>
        <w:rPr>
          <w:lang w:val="es-ES"/>
        </w:rPr>
        <w:t>manera consolidada</w:t>
      </w:r>
      <w:r w:rsidRPr="007E4FE1">
        <w:rPr>
          <w:lang w:val="es-ES"/>
        </w:rPr>
        <w:t xml:space="preserve">, las Primas Netas Cobradas al mes de </w:t>
      </w:r>
      <w:r w:rsidR="001E0393">
        <w:rPr>
          <w:lang w:val="es-ES"/>
        </w:rPr>
        <w:t>junio</w:t>
      </w:r>
      <w:r w:rsidR="00655417">
        <w:rPr>
          <w:lang w:val="es-ES"/>
        </w:rPr>
        <w:t xml:space="preserve"> </w:t>
      </w:r>
      <w:r w:rsidRPr="007E4FE1">
        <w:rPr>
          <w:lang w:val="es-ES"/>
        </w:rPr>
        <w:t>asciende</w:t>
      </w:r>
      <w:r>
        <w:rPr>
          <w:lang w:val="es-ES"/>
        </w:rPr>
        <w:t>n</w:t>
      </w:r>
      <w:r w:rsidRPr="007E4FE1">
        <w:rPr>
          <w:lang w:val="es-ES"/>
        </w:rPr>
        <w:t xml:space="preserve"> a RD$</w:t>
      </w:r>
      <w:r w:rsidR="00511E08">
        <w:rPr>
          <w:lang w:val="es-ES"/>
        </w:rPr>
        <w:t xml:space="preserve">42,167.9 </w:t>
      </w:r>
      <w:r>
        <w:t>millones</w:t>
      </w:r>
      <w:r>
        <w:rPr>
          <w:bCs/>
        </w:rPr>
        <w:t xml:space="preserve">, </w:t>
      </w:r>
      <w:r w:rsidRPr="007E4FE1">
        <w:rPr>
          <w:lang w:val="es-ES"/>
        </w:rPr>
        <w:t>lo que representa un crecimiento en término</w:t>
      </w:r>
      <w:r>
        <w:rPr>
          <w:lang w:val="es-ES"/>
        </w:rPr>
        <w:t>s</w:t>
      </w:r>
      <w:r w:rsidRPr="007E4FE1">
        <w:rPr>
          <w:lang w:val="es-ES"/>
        </w:rPr>
        <w:t xml:space="preserve"> absoluto</w:t>
      </w:r>
      <w:r>
        <w:rPr>
          <w:lang w:val="es-ES"/>
        </w:rPr>
        <w:t>s</w:t>
      </w:r>
      <w:r w:rsidRPr="007E4FE1">
        <w:rPr>
          <w:lang w:val="es-ES"/>
        </w:rPr>
        <w:t xml:space="preserve"> de RD$</w:t>
      </w:r>
      <w:r w:rsidR="00511E08">
        <w:rPr>
          <w:lang w:val="es-ES"/>
        </w:rPr>
        <w:t>8,416.5</w:t>
      </w:r>
      <w:r w:rsidRPr="007E4FE1">
        <w:t xml:space="preserve"> </w:t>
      </w:r>
      <w:r>
        <w:t>millones</w:t>
      </w:r>
      <w:r w:rsidR="00511E08">
        <w:t xml:space="preserve">, para una variación porcentual </w:t>
      </w:r>
      <w:r w:rsidRPr="007E4FE1">
        <w:rPr>
          <w:lang w:val="es-ES"/>
        </w:rPr>
        <w:t>(</w:t>
      </w:r>
      <w:r w:rsidR="00511E08">
        <w:rPr>
          <w:lang w:val="es-ES"/>
        </w:rPr>
        <w:t>24.9</w:t>
      </w:r>
      <w:r w:rsidRPr="007E4FE1">
        <w:rPr>
          <w:lang w:val="es-ES"/>
        </w:rPr>
        <w:t>%</w:t>
      </w:r>
      <w:r>
        <w:rPr>
          <w:lang w:val="es-ES"/>
        </w:rPr>
        <w:t xml:space="preserve">), </w:t>
      </w:r>
      <w:r w:rsidRPr="007E4FE1">
        <w:rPr>
          <w:lang w:val="es-ES"/>
        </w:rPr>
        <w:t xml:space="preserve">respecto al mismo período del año anterior. Los ramos de mayor </w:t>
      </w:r>
      <w:r>
        <w:rPr>
          <w:lang w:val="es-ES"/>
        </w:rPr>
        <w:t>crecimiento</w:t>
      </w:r>
      <w:r w:rsidRPr="007E4FE1">
        <w:rPr>
          <w:lang w:val="es-ES"/>
        </w:rPr>
        <w:t xml:space="preserve"> con relación al año </w:t>
      </w:r>
      <w:r w:rsidR="00511E08">
        <w:rPr>
          <w:lang w:val="es-ES"/>
        </w:rPr>
        <w:t>precedente</w:t>
      </w:r>
      <w:r w:rsidRPr="007E4FE1">
        <w:rPr>
          <w:lang w:val="es-ES"/>
        </w:rPr>
        <w:t xml:space="preserve"> fueron: </w:t>
      </w:r>
      <w:r>
        <w:rPr>
          <w:lang w:val="es-ES"/>
        </w:rPr>
        <w:t>Agrícola y Pecuario (</w:t>
      </w:r>
      <w:r w:rsidR="00511E08">
        <w:rPr>
          <w:lang w:val="es-ES"/>
        </w:rPr>
        <w:t>76.1</w:t>
      </w:r>
      <w:r>
        <w:rPr>
          <w:lang w:val="es-ES"/>
        </w:rPr>
        <w:t>%)</w:t>
      </w:r>
      <w:r w:rsidR="00511E08">
        <w:rPr>
          <w:lang w:val="es-ES"/>
        </w:rPr>
        <w:t>, Otros Seguros (48.3%) y Transporte de Carga (45.8%)</w:t>
      </w:r>
      <w:r w:rsidRPr="007E4FE1">
        <w:rPr>
          <w:lang w:val="es-ES"/>
        </w:rPr>
        <w:t xml:space="preserve">. </w:t>
      </w:r>
      <w:r w:rsidR="00511E08">
        <w:rPr>
          <w:lang w:val="es-ES"/>
        </w:rPr>
        <w:t xml:space="preserve">En sentido contrario los ramos que reflejaron un menor crecimiento fueron: Naves Marítimas y Aéreas (-15.9%) y Vida Individual (-0.5%). </w:t>
      </w:r>
      <w:r w:rsidRPr="007E4FE1">
        <w:rPr>
          <w:lang w:val="es-ES"/>
        </w:rPr>
        <w:t>Por otro lado, los ramos de mayor aporte al total de Primas Netas Cobradas fueron:</w:t>
      </w:r>
      <w:r>
        <w:rPr>
          <w:lang w:val="es-ES"/>
        </w:rPr>
        <w:t xml:space="preserve"> </w:t>
      </w:r>
      <w:r w:rsidRPr="007E4FE1">
        <w:rPr>
          <w:lang w:val="es-ES"/>
        </w:rPr>
        <w:t>Incendio y Aliados (</w:t>
      </w:r>
      <w:r w:rsidR="008C00DB">
        <w:rPr>
          <w:lang w:val="es-ES"/>
        </w:rPr>
        <w:t>28.8</w:t>
      </w:r>
      <w:r w:rsidRPr="007E4FE1">
        <w:rPr>
          <w:lang w:val="es-ES"/>
        </w:rPr>
        <w:t>%)</w:t>
      </w:r>
      <w:r>
        <w:rPr>
          <w:lang w:val="es-ES"/>
        </w:rPr>
        <w:t>, Salud (</w:t>
      </w:r>
      <w:r w:rsidR="008C00DB">
        <w:rPr>
          <w:lang w:val="es-ES"/>
        </w:rPr>
        <w:t>23.3</w:t>
      </w:r>
      <w:r>
        <w:rPr>
          <w:lang w:val="es-ES"/>
        </w:rPr>
        <w:t>%) y Vehículos de Motor (22.</w:t>
      </w:r>
      <w:r w:rsidR="00EA1A0E">
        <w:rPr>
          <w:lang w:val="es-ES"/>
        </w:rPr>
        <w:t>1</w:t>
      </w:r>
      <w:r>
        <w:rPr>
          <w:lang w:val="es-ES"/>
        </w:rPr>
        <w:t>%).</w:t>
      </w:r>
    </w:p>
    <w:p w:rsidR="007E622A" w:rsidRDefault="007E622A" w:rsidP="007E622A">
      <w:pPr>
        <w:spacing w:line="360" w:lineRule="auto"/>
        <w:jc w:val="both"/>
        <w:rPr>
          <w:lang w:val="es-ES"/>
        </w:rPr>
      </w:pPr>
    </w:p>
    <w:p w:rsidR="007E622A" w:rsidRPr="00F446BC" w:rsidRDefault="007E622A" w:rsidP="007E622A">
      <w:pPr>
        <w:spacing w:line="360" w:lineRule="auto"/>
        <w:jc w:val="both"/>
      </w:pPr>
      <w:r w:rsidRPr="006D2FA5">
        <w:rPr>
          <w:lang w:val="es-ES"/>
        </w:rPr>
        <w:t xml:space="preserve">Las aseguradoras que mostraron un crecimiento sobresaliente en sus Primas Netas Cobradas </w:t>
      </w:r>
      <w:r>
        <w:rPr>
          <w:lang w:val="es-ES"/>
        </w:rPr>
        <w:t>al</w:t>
      </w:r>
      <w:r w:rsidRPr="006D2FA5">
        <w:rPr>
          <w:lang w:val="es-ES"/>
        </w:rPr>
        <w:t xml:space="preserve"> mes de</w:t>
      </w:r>
      <w:r w:rsidR="00320737">
        <w:rPr>
          <w:lang w:val="es-ES"/>
        </w:rPr>
        <w:t xml:space="preserve"> </w:t>
      </w:r>
      <w:r w:rsidR="001E0393">
        <w:rPr>
          <w:lang w:val="es-ES"/>
        </w:rPr>
        <w:t>junio</w:t>
      </w:r>
      <w:r>
        <w:rPr>
          <w:lang w:val="es-ES"/>
        </w:rPr>
        <w:t xml:space="preserve"> </w:t>
      </w:r>
      <w:r w:rsidRPr="006D2FA5">
        <w:rPr>
          <w:lang w:val="es-ES"/>
        </w:rPr>
        <w:t>de</w:t>
      </w:r>
      <w:r>
        <w:rPr>
          <w:lang w:val="es-ES"/>
        </w:rPr>
        <w:t>l</w:t>
      </w:r>
      <w:r w:rsidRPr="006D2FA5">
        <w:rPr>
          <w:lang w:val="es-ES"/>
        </w:rPr>
        <w:t xml:space="preserve"> 202</w:t>
      </w:r>
      <w:r>
        <w:rPr>
          <w:lang w:val="es-ES"/>
        </w:rPr>
        <w:t>1,</w:t>
      </w:r>
      <w:r w:rsidRPr="006D2FA5">
        <w:rPr>
          <w:lang w:val="es-ES"/>
        </w:rPr>
        <w:t xml:space="preserve"> con</w:t>
      </w:r>
      <w:r>
        <w:rPr>
          <w:lang w:val="es-ES"/>
        </w:rPr>
        <w:t xml:space="preserve"> relación</w:t>
      </w:r>
      <w:r w:rsidRPr="006D2FA5">
        <w:rPr>
          <w:lang w:val="es-ES"/>
        </w:rPr>
        <w:t xml:space="preserve"> al mismo </w:t>
      </w:r>
      <w:r>
        <w:rPr>
          <w:lang w:val="es-ES"/>
        </w:rPr>
        <w:t>período</w:t>
      </w:r>
      <w:r w:rsidRPr="006D2FA5">
        <w:rPr>
          <w:lang w:val="es-ES"/>
        </w:rPr>
        <w:t xml:space="preserve"> del 20</w:t>
      </w:r>
      <w:r>
        <w:rPr>
          <w:lang w:val="es-ES"/>
        </w:rPr>
        <w:t>20</w:t>
      </w:r>
      <w:r w:rsidRPr="006D2FA5">
        <w:rPr>
          <w:lang w:val="es-ES"/>
        </w:rPr>
        <w:t xml:space="preserve"> fueron:</w:t>
      </w:r>
      <w:r>
        <w:rPr>
          <w:lang w:val="es-ES"/>
        </w:rPr>
        <w:t xml:space="preserve"> </w:t>
      </w:r>
      <w:r w:rsidRPr="00623AB7">
        <w:rPr>
          <w:b/>
          <w:bCs/>
          <w:color w:val="000000"/>
        </w:rPr>
        <w:t>Unit, S. A.</w:t>
      </w:r>
      <w:r>
        <w:rPr>
          <w:bCs/>
          <w:color w:val="000000"/>
        </w:rPr>
        <w:t xml:space="preserve"> (7</w:t>
      </w:r>
      <w:r w:rsidR="008C00DB">
        <w:rPr>
          <w:bCs/>
          <w:color w:val="000000"/>
        </w:rPr>
        <w:t>10.9</w:t>
      </w:r>
      <w:r>
        <w:rPr>
          <w:bCs/>
          <w:color w:val="000000"/>
        </w:rPr>
        <w:t xml:space="preserve">%), </w:t>
      </w:r>
      <w:proofErr w:type="spellStart"/>
      <w:r>
        <w:rPr>
          <w:b/>
          <w:bCs/>
          <w:color w:val="000000"/>
        </w:rPr>
        <w:t>Multiseguros</w:t>
      </w:r>
      <w:proofErr w:type="spellEnd"/>
      <w:r w:rsidRPr="00623AB7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S.U,</w:t>
      </w:r>
      <w:r w:rsidRPr="00623AB7">
        <w:rPr>
          <w:b/>
          <w:bCs/>
          <w:color w:val="000000"/>
        </w:rPr>
        <w:t xml:space="preserve"> S.</w:t>
      </w:r>
      <w:r>
        <w:rPr>
          <w:b/>
          <w:bCs/>
          <w:color w:val="000000"/>
        </w:rPr>
        <w:t xml:space="preserve"> </w:t>
      </w:r>
      <w:r w:rsidRPr="00623AB7">
        <w:rPr>
          <w:b/>
          <w:bCs/>
          <w:color w:val="000000"/>
        </w:rPr>
        <w:t>A.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 xml:space="preserve"> (2</w:t>
      </w:r>
      <w:r w:rsidR="008C00DB">
        <w:rPr>
          <w:bCs/>
          <w:color w:val="000000"/>
        </w:rPr>
        <w:t>07.6</w:t>
      </w:r>
      <w:r>
        <w:rPr>
          <w:bCs/>
          <w:color w:val="000000"/>
        </w:rPr>
        <w:t>%) y</w:t>
      </w:r>
      <w:r w:rsidR="008C268E">
        <w:rPr>
          <w:bCs/>
          <w:color w:val="000000"/>
        </w:rPr>
        <w:t xml:space="preserve"> </w:t>
      </w:r>
      <w:r w:rsidR="008C268E" w:rsidRPr="008C00DB">
        <w:rPr>
          <w:b/>
          <w:bCs/>
          <w:color w:val="000000"/>
        </w:rPr>
        <w:t>Hylseg Seguros, S. A</w:t>
      </w:r>
      <w:r w:rsidRPr="008C00DB">
        <w:rPr>
          <w:b/>
          <w:bCs/>
          <w:color w:val="000000"/>
        </w:rPr>
        <w:t>.</w:t>
      </w:r>
      <w:r>
        <w:rPr>
          <w:bCs/>
          <w:color w:val="000000"/>
        </w:rPr>
        <w:t xml:space="preserve"> (1</w:t>
      </w:r>
      <w:r w:rsidR="008C00DB">
        <w:rPr>
          <w:bCs/>
          <w:color w:val="000000"/>
        </w:rPr>
        <w:t>75.3</w:t>
      </w:r>
      <w:r>
        <w:rPr>
          <w:bCs/>
          <w:color w:val="000000"/>
        </w:rPr>
        <w:t>%).</w:t>
      </w:r>
    </w:p>
    <w:p w:rsidR="007E622A" w:rsidRPr="00CD1843" w:rsidRDefault="007E622A" w:rsidP="007E622A"/>
    <w:p w:rsidR="007E622A" w:rsidRDefault="007E622A"/>
    <w:sectPr w:rsidR="007E62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2A"/>
    <w:rsid w:val="001E0393"/>
    <w:rsid w:val="00283BE3"/>
    <w:rsid w:val="0028610E"/>
    <w:rsid w:val="00290C91"/>
    <w:rsid w:val="002A0293"/>
    <w:rsid w:val="00320737"/>
    <w:rsid w:val="00356106"/>
    <w:rsid w:val="003A5E19"/>
    <w:rsid w:val="004E20CC"/>
    <w:rsid w:val="00511E08"/>
    <w:rsid w:val="005406B3"/>
    <w:rsid w:val="005F138B"/>
    <w:rsid w:val="00650294"/>
    <w:rsid w:val="00655417"/>
    <w:rsid w:val="007E622A"/>
    <w:rsid w:val="008C00DB"/>
    <w:rsid w:val="008C268E"/>
    <w:rsid w:val="009160C2"/>
    <w:rsid w:val="009B5143"/>
    <w:rsid w:val="00A0567D"/>
    <w:rsid w:val="00A91B92"/>
    <w:rsid w:val="00AF4932"/>
    <w:rsid w:val="00B21E0B"/>
    <w:rsid w:val="00B85EF9"/>
    <w:rsid w:val="00C03907"/>
    <w:rsid w:val="00C47B19"/>
    <w:rsid w:val="00CA1277"/>
    <w:rsid w:val="00CA749F"/>
    <w:rsid w:val="00D302F8"/>
    <w:rsid w:val="00DA2B0D"/>
    <w:rsid w:val="00EA1A0E"/>
    <w:rsid w:val="00EA3861"/>
    <w:rsid w:val="00FB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2490D"/>
  <w15:chartTrackingRefBased/>
  <w15:docId w15:val="{72FAA961-08D9-4180-8ADB-CB70B724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Baez</dc:creator>
  <cp:keywords/>
  <dc:description/>
  <cp:lastModifiedBy>Rommel Svelti</cp:lastModifiedBy>
  <cp:revision>3</cp:revision>
  <dcterms:created xsi:type="dcterms:W3CDTF">2021-07-21T16:36:00Z</dcterms:created>
  <dcterms:modified xsi:type="dcterms:W3CDTF">2021-07-27T15:07:00Z</dcterms:modified>
</cp:coreProperties>
</file>