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254E" w14:textId="60BEB0E3" w:rsidR="00D07C3C" w:rsidRDefault="00D07C3C" w:rsidP="00F3682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7A3CAD4" wp14:editId="5CD6556E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SUPERINTENDENCIA DE SEGUROS DE LA REP</w:t>
      </w:r>
      <w:r w:rsidR="00990DE8">
        <w:rPr>
          <w:rFonts w:ascii="Times New Roman" w:hAnsi="Times New Roman" w:cs="Times New Roman"/>
          <w:b/>
          <w:i/>
          <w:sz w:val="24"/>
          <w:szCs w:val="24"/>
          <w:lang w:val="es-ES"/>
        </w:rPr>
        <w:t>Ú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BLICA DOMINICANA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PRIMAS NETAS COBRADAS DE ENERO DEL 2021</w:t>
      </w:r>
    </w:p>
    <w:p w14:paraId="6859D4BE" w14:textId="77777777" w:rsidR="00D07C3C" w:rsidRDefault="00D07C3C" w:rsidP="00D07C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D5676A" w14:textId="5A969F8F" w:rsidR="007E3447" w:rsidRDefault="00D07C3C" w:rsidP="007E34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DO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>
        <w:rPr>
          <w:rFonts w:ascii="Times New Roman" w:hAnsi="Times New Roman" w:cs="Times New Roman"/>
          <w:sz w:val="24"/>
          <w:szCs w:val="24"/>
          <w:lang w:val="es-ES"/>
        </w:rPr>
        <w:t>Cobradas</w:t>
      </w:r>
      <w:r w:rsidR="00A14F9B">
        <w:rPr>
          <w:rFonts w:ascii="Times New Roman" w:hAnsi="Times New Roman" w:cs="Times New Roman"/>
          <w:sz w:val="24"/>
          <w:szCs w:val="24"/>
          <w:lang w:val="es-ES"/>
        </w:rPr>
        <w:t xml:space="preserve"> (PNC)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683B">
        <w:rPr>
          <w:rFonts w:ascii="Times New Roman" w:hAnsi="Times New Roman" w:cs="Times New Roman"/>
          <w:sz w:val="24"/>
          <w:szCs w:val="24"/>
          <w:lang w:val="es-ES"/>
        </w:rPr>
        <w:t>totalizaron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enero del 2021 </w:t>
      </w:r>
      <w:r w:rsidR="00990DE8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AA683B">
        <w:rPr>
          <w:rFonts w:ascii="Times New Roman" w:hAnsi="Times New Roman" w:cs="Times New Roman"/>
          <w:sz w:val="24"/>
          <w:szCs w:val="24"/>
          <w:lang w:val="es-ES"/>
        </w:rPr>
        <w:t>monto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RD</w:t>
      </w:r>
      <w:r w:rsidRPr="00AA683B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AA683B" w:rsidRPr="001D7382">
        <w:rPr>
          <w:rFonts w:ascii="Arial" w:hAnsi="Arial" w:cs="Arial"/>
          <w:sz w:val="20"/>
          <w:szCs w:val="20"/>
          <w:lang w:val="es-DO"/>
        </w:rPr>
        <w:t xml:space="preserve"> </w:t>
      </w:r>
      <w:r w:rsidR="00AA683B" w:rsidRPr="001D7382">
        <w:rPr>
          <w:rFonts w:ascii="Times New Roman" w:hAnsi="Times New Roman" w:cs="Times New Roman"/>
          <w:sz w:val="24"/>
          <w:szCs w:val="24"/>
          <w:lang w:val="es-DO"/>
        </w:rPr>
        <w:t>5,531,956,965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683B">
        <w:rPr>
          <w:rFonts w:ascii="Times New Roman" w:hAnsi="Times New Roman" w:cs="Times New Roman"/>
          <w:sz w:val="24"/>
          <w:szCs w:val="24"/>
          <w:lang w:val="es-ES"/>
        </w:rPr>
        <w:t>representando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990DE8">
        <w:rPr>
          <w:rFonts w:ascii="Times New Roman" w:hAnsi="Times New Roman" w:cs="Times New Roman"/>
          <w:sz w:val="24"/>
          <w:szCs w:val="24"/>
          <w:lang w:val="es-ES"/>
        </w:rPr>
        <w:t>a variación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de RD</w:t>
      </w:r>
      <w:r w:rsidRPr="0051031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Pr="00510311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="00AA683B" w:rsidRPr="001D7382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-843,250,012</w:t>
      </w:r>
      <w:r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AA683B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-13.23</w:t>
      </w:r>
      <w:r w:rsidRPr="008F1B8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respecto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</w:t>
      </w:r>
      <w:r w:rsidR="001D73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0DE8">
        <w:rPr>
          <w:rFonts w:ascii="Times New Roman" w:hAnsi="Times New Roman" w:cs="Times New Roman"/>
          <w:sz w:val="24"/>
          <w:szCs w:val="24"/>
          <w:lang w:val="es-ES"/>
        </w:rPr>
        <w:t>anterior</w:t>
      </w:r>
      <w:r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77EF4256" w14:textId="77777777" w:rsidR="007E3447" w:rsidRDefault="007E3447" w:rsidP="007E34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DO"/>
        </w:rPr>
      </w:pPr>
    </w:p>
    <w:p w14:paraId="107F2373" w14:textId="5F74047E" w:rsidR="00D07C3C" w:rsidRPr="007E3447" w:rsidRDefault="00D07C3C" w:rsidP="007E34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</w:pP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Cabe destacar que, para el mes de </w:t>
      </w:r>
      <w:r w:rsidR="00AA683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enero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de 202</w:t>
      </w:r>
      <w:r w:rsidR="00AA683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1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en comparación al mismo periodo del año 20</w:t>
      </w:r>
      <w:r w:rsidR="00AA683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20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, los ramos que reflejaron un mayor crecimiento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relativo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fueron: 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Fianzas 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(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81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.0%) y 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Otros Seguros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(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6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.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4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%). En ese tenor, los ramos de mayor representatividad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en el total de primas netas cobradas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fueron: 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Salud (26.3%), 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Vehículos de Motor (2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5.3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e Incendios y Aliados (2</w:t>
      </w:r>
      <w:r w:rsidR="00B65140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1.7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%).</w:t>
      </w:r>
    </w:p>
    <w:p w14:paraId="0A855743" w14:textId="77777777" w:rsidR="007E3447" w:rsidRDefault="007E3447" w:rsidP="008642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</w:p>
    <w:p w14:paraId="787FA161" w14:textId="0CFF4DE8" w:rsidR="00D07C3C" w:rsidRPr="007E3447" w:rsidRDefault="00D07C3C" w:rsidP="007E34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</w:pP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Las Primas Netas Cobradas No Exoneradas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totalizaron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un monto de RD$</w:t>
      </w:r>
      <w:r w:rsidR="0086427C" w:rsidRPr="001D7382">
        <w:rPr>
          <w:rFonts w:ascii="Arial" w:hAnsi="Arial" w:cs="Arial"/>
          <w:b/>
          <w:bCs/>
          <w:sz w:val="20"/>
          <w:szCs w:val="20"/>
          <w:lang w:val="es-DO"/>
        </w:rPr>
        <w:t xml:space="preserve"> </w:t>
      </w:r>
      <w:r w:rsidR="0086427C" w:rsidRPr="001D7382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3,321,434,267</w:t>
      </w:r>
      <w:r w:rsidR="00990DE8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,</w:t>
      </w:r>
      <w:r w:rsidR="00E421EF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representando un 6</w:t>
      </w:r>
      <w:r w:rsidR="00864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.0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 del total de Primas Netas Cobradas en el mes de </w:t>
      </w:r>
      <w:r w:rsidR="00864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enero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de 202</w:t>
      </w:r>
      <w:r w:rsidR="00864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</w:t>
      </w:r>
      <w:r w:rsidR="003E2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 w:rsidR="00990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M</w:t>
      </w:r>
      <w:r w:rsidR="00990DE8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ientras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que las Primas Exoneradas de impuestos fueron de RD$ </w:t>
      </w:r>
      <w:r w:rsidR="0086427C" w:rsidRPr="001D7382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2,210,522,698</w:t>
      </w:r>
      <w:r w:rsidR="007E3447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para una participación </w:t>
      </w:r>
      <w:r w:rsidR="0086427C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.0% del total de Primas Netas Cobradas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. Los ramos con mayor participación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en el total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Primas Netas Cobradas Exoneradas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fueron: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Salud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Vida Colectiva con </w:t>
      </w:r>
      <w:r w:rsidR="0012634E">
        <w:rPr>
          <w:rFonts w:ascii="Times New Roman" w:hAnsi="Times New Roman" w:cs="Times New Roman"/>
          <w:sz w:val="24"/>
          <w:szCs w:val="24"/>
          <w:lang w:val="es-ES"/>
        </w:rPr>
        <w:t>65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2634E">
        <w:rPr>
          <w:rFonts w:ascii="Times New Roman" w:hAnsi="Times New Roman" w:cs="Times New Roman"/>
          <w:sz w:val="24"/>
          <w:szCs w:val="24"/>
          <w:lang w:val="es-ES"/>
        </w:rPr>
        <w:t>9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y </w:t>
      </w:r>
      <w:r w:rsidR="0012634E">
        <w:rPr>
          <w:rFonts w:ascii="Times New Roman" w:hAnsi="Times New Roman" w:cs="Times New Roman"/>
          <w:sz w:val="24"/>
          <w:szCs w:val="24"/>
          <w:lang w:val="es-ES"/>
        </w:rPr>
        <w:t>22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2634E">
        <w:rPr>
          <w:rFonts w:ascii="Times New Roman" w:hAnsi="Times New Roman" w:cs="Times New Roman"/>
          <w:sz w:val="24"/>
          <w:szCs w:val="24"/>
          <w:lang w:val="es-ES"/>
        </w:rPr>
        <w:t>9</w:t>
      </w:r>
      <w:r>
        <w:rPr>
          <w:rFonts w:ascii="Times New Roman" w:hAnsi="Times New Roman" w:cs="Times New Roman"/>
          <w:sz w:val="24"/>
          <w:szCs w:val="24"/>
          <w:lang w:val="es-ES"/>
        </w:rPr>
        <w:t>% de aporte a este total de primas exoneradas de impuesto, respectivamente.</w:t>
      </w:r>
    </w:p>
    <w:p w14:paraId="535F05B1" w14:textId="77777777" w:rsidR="00D07C3C" w:rsidRDefault="00D07C3C" w:rsidP="00D07C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7F6A3016" w14:textId="77777777" w:rsidR="00D07C3C" w:rsidRDefault="00D07C3C" w:rsidP="00D07C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14:paraId="27C3C590" w14:textId="77777777" w:rsidR="00D07C3C" w:rsidRPr="005E2626" w:rsidRDefault="00D07C3C" w:rsidP="00D07C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1C7EEBAC" w14:textId="178B9366" w:rsidR="00D07C3C" w:rsidRDefault="00D07C3C" w:rsidP="00D07C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Estas diez compañías representan el 8</w:t>
      </w:r>
      <w:r w:rsidR="00B65140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65140">
        <w:rPr>
          <w:rFonts w:ascii="Times New Roman" w:hAnsi="Times New Roman" w:cs="Times New Roman"/>
          <w:sz w:val="24"/>
          <w:szCs w:val="24"/>
          <w:lang w:val="es-ES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del total de las primas netas cobradas del sector asegurador dominicano del mes de </w:t>
      </w:r>
      <w:r w:rsidR="0086427C">
        <w:rPr>
          <w:rFonts w:ascii="Times New Roman" w:hAnsi="Times New Roman" w:cs="Times New Roman"/>
          <w:sz w:val="24"/>
          <w:szCs w:val="24"/>
          <w:lang w:val="es-ES"/>
        </w:rPr>
        <w:t>enero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</w:t>
      </w:r>
      <w:r w:rsidR="0086427C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890BCE3" w14:textId="77777777" w:rsidR="00D07C3C" w:rsidRDefault="00D07C3C" w:rsidP="007E34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4ACC15B" w14:textId="77777777" w:rsidR="007E3447" w:rsidRDefault="007E344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14:paraId="198021ED" w14:textId="6CB3B17C" w:rsidR="00D07C3C" w:rsidRDefault="00D07C3C" w:rsidP="00D07C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Las 10 compañías más importantes del mes de enero de 2021.</w:t>
      </w:r>
    </w:p>
    <w:tbl>
      <w:tblPr>
        <w:tblpPr w:leftFromText="141" w:rightFromText="141" w:vertAnchor="text" w:horzAnchor="margin" w:tblpXSpec="center" w:tblpY="297"/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5"/>
        <w:gridCol w:w="2174"/>
        <w:gridCol w:w="363"/>
        <w:gridCol w:w="2716"/>
        <w:gridCol w:w="21"/>
      </w:tblGrid>
      <w:tr w:rsidR="00D07C3C" w:rsidRPr="00FF7097" w14:paraId="4DF4DC6F" w14:textId="77777777" w:rsidTr="002532CA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63A23AA4" w14:textId="77777777" w:rsidR="00D07C3C" w:rsidRPr="00FF7097" w:rsidRDefault="00D07C3C" w:rsidP="0025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61B09299" w14:textId="77777777" w:rsidR="00D07C3C" w:rsidRPr="00FF7097" w:rsidRDefault="00D07C3C" w:rsidP="0025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Posicionamiento</w:t>
            </w:r>
          </w:p>
        </w:tc>
      </w:tr>
      <w:tr w:rsidR="00D07C3C" w:rsidRPr="00FF7097" w14:paraId="3067C084" w14:textId="77777777" w:rsidTr="002532CA">
        <w:trPr>
          <w:gridAfter w:val="1"/>
          <w:wAfter w:w="21" w:type="dxa"/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45B97AE5" w14:textId="77777777" w:rsidR="00D07C3C" w:rsidRPr="00FF7097" w:rsidRDefault="00D07C3C" w:rsidP="0025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583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AC8498" w14:textId="77777777" w:rsidR="00D07C3C" w:rsidRPr="00FF7097" w:rsidRDefault="00D07C3C" w:rsidP="0025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D07C3C" w:rsidRPr="00FF7097" w14:paraId="6AF24B29" w14:textId="77777777" w:rsidTr="002532CA">
        <w:trPr>
          <w:gridAfter w:val="1"/>
          <w:wAfter w:w="21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17516731" w14:textId="77777777" w:rsidR="00D07C3C" w:rsidRPr="00FF7097" w:rsidRDefault="00D07C3C" w:rsidP="0025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28F0711C" w14:textId="05D9A2AD" w:rsidR="00D07C3C" w:rsidRPr="00FF7097" w:rsidRDefault="00D07C3C" w:rsidP="0025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2B2FFC64" w14:textId="5727AAA4" w:rsidR="00D07C3C" w:rsidRPr="00FF7097" w:rsidRDefault="00D07C3C" w:rsidP="0025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</w:tr>
      <w:tr w:rsidR="00D07C3C" w:rsidRPr="00FF7097" w14:paraId="53FCC448" w14:textId="77777777" w:rsidTr="002532CA">
        <w:trPr>
          <w:gridAfter w:val="1"/>
          <w:wAfter w:w="21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6C3A64FE" w14:textId="77777777" w:rsidR="00D07C3C" w:rsidRPr="00FF7097" w:rsidRDefault="00D07C3C" w:rsidP="0025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FF7097">
              <w:rPr>
                <w:rFonts w:ascii="Calibri" w:eastAsia="Times New Roman" w:hAnsi="Calibri" w:cs="Calibri"/>
                <w:color w:val="000000"/>
                <w:lang w:val="es-DO" w:eastAsia="es-DO"/>
              </w:rPr>
              <w:t> </w:t>
            </w:r>
          </w:p>
        </w:tc>
        <w:tc>
          <w:tcPr>
            <w:tcW w:w="31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16348" w14:textId="77777777" w:rsidR="00D07C3C" w:rsidRPr="00FF7097" w:rsidRDefault="00D07C3C" w:rsidP="0025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7023" w14:textId="77777777" w:rsidR="00D07C3C" w:rsidRPr="00FF7097" w:rsidRDefault="00D07C3C" w:rsidP="0025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D07C3C" w:rsidRPr="00FF7097" w14:paraId="349D354F" w14:textId="77777777" w:rsidTr="00FA5CB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2E8A2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Universal,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34699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3AD1" w14:textId="27ABAF87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1,639,633,723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3899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2CD" w14:textId="4566643D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1,228,012,750.46 </w:t>
            </w:r>
          </w:p>
        </w:tc>
      </w:tr>
      <w:tr w:rsidR="00D07C3C" w:rsidRPr="00FF7097" w14:paraId="62509FB7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F271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Reservas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96C2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70F" w14:textId="00799DB2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1,080,401,436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03F2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5F4" w14:textId="04204DBB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661,956,035.91 </w:t>
            </w:r>
          </w:p>
        </w:tc>
      </w:tr>
      <w:tr w:rsidR="00D07C3C" w:rsidRPr="00FF7097" w14:paraId="7034DF14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13A9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B0E9D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7D2B" w14:textId="54A36C5C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981,293,569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B62E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192" w14:textId="6652C30B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876,188,312.95 </w:t>
            </w:r>
          </w:p>
        </w:tc>
      </w:tr>
      <w:tr w:rsidR="00D07C3C" w:rsidRPr="00FF7097" w14:paraId="026335AA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F0671" w14:textId="7575342C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>MAPFRE BHD Cía</w:t>
            </w:r>
            <w:r w:rsidR="007E3447">
              <w:rPr>
                <w:rFonts w:ascii="Arial" w:hAnsi="Arial" w:cs="Arial"/>
                <w:sz w:val="20"/>
                <w:szCs w:val="20"/>
                <w:lang w:val="es-DO"/>
              </w:rPr>
              <w:t>.</w:t>
            </w: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 xml:space="preserve">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F77D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5976" w14:textId="1C80F631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621,751,353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0904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FC0" w14:textId="10115B1C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529,320,840.24 </w:t>
            </w:r>
          </w:p>
        </w:tc>
      </w:tr>
      <w:tr w:rsidR="00D07C3C" w:rsidRPr="00FF7097" w14:paraId="47E79D93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773A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>La Colonial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0B5F4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FDE" w14:textId="1A7182E8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433,394,865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5366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264" w14:textId="04E0FA0C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444,436,931.04 </w:t>
            </w:r>
          </w:p>
        </w:tc>
      </w:tr>
      <w:tr w:rsidR="00D07C3C" w:rsidRPr="00FF7097" w14:paraId="6A6C0CF3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4E500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E740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935" w14:textId="0FB7AE3D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402,595,296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509E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6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97B" w14:textId="45E54CAA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389,283,855.98 </w:t>
            </w:r>
          </w:p>
        </w:tc>
      </w:tr>
      <w:tr w:rsidR="00D07C3C" w:rsidRPr="00FF7097" w14:paraId="6945AC1A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BD7D" w14:textId="7777777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Worldwide,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3DE1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F92" w14:textId="14A4173B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176,239,112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9BAB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7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1D6" w14:textId="08BAF957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237,227,006.44 </w:t>
            </w:r>
          </w:p>
        </w:tc>
      </w:tr>
      <w:tr w:rsidR="00D07C3C" w:rsidRPr="00FF7097" w14:paraId="76D1D60E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47B9" w14:textId="103CEA9B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Seguros Crecer,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45BB9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A80A" w14:textId="761BE754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135,805,770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6DB0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B8D" w14:textId="07FC4172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176,985,015.81 </w:t>
            </w:r>
          </w:p>
        </w:tc>
      </w:tr>
      <w:tr w:rsidR="00D07C3C" w:rsidRPr="00FF7097" w14:paraId="5A18A223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DBC03" w14:textId="59476F7E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1D7382"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General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B2B5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87B8" w14:textId="27868ADC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135,682,606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7FFF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7E5" w14:textId="736766C9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129,899,925.31 </w:t>
            </w:r>
          </w:p>
        </w:tc>
      </w:tr>
      <w:tr w:rsidR="00D07C3C" w:rsidRPr="00FF7097" w14:paraId="04585F58" w14:textId="77777777" w:rsidTr="00062E56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1086" w14:textId="1B98EF17" w:rsidR="00D07C3C" w:rsidRPr="00FF7097" w:rsidRDefault="00D07C3C" w:rsidP="00D0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Pep</w:t>
            </w:r>
            <w:r w:rsidR="00D17A57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CF86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8C8" w14:textId="6F89F1CF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102,829,270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F94C" w14:textId="77777777" w:rsidR="00D07C3C" w:rsidRPr="00FF7097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10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DE0" w14:textId="60DF2BF2" w:rsidR="00D07C3C" w:rsidRPr="00CA402A" w:rsidRDefault="00D07C3C" w:rsidP="00D07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111,262,402.47 </w:t>
            </w:r>
          </w:p>
        </w:tc>
      </w:tr>
    </w:tbl>
    <w:p w14:paraId="17A7427D" w14:textId="77777777" w:rsidR="00D07C3C" w:rsidRDefault="00D07C3C" w:rsidP="00D07C3C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val="es-ES" w:eastAsia="es-DO"/>
        </w:rPr>
      </w:pPr>
      <w:r>
        <w:rPr>
          <w:rFonts w:ascii="Arial" w:eastAsia="Times New Roman" w:hAnsi="Arial" w:cs="Arial"/>
          <w:sz w:val="14"/>
          <w:szCs w:val="14"/>
          <w:lang w:val="es-ES" w:eastAsia="es-DO"/>
        </w:rPr>
        <w:t xml:space="preserve">          </w:t>
      </w:r>
      <w:bookmarkStart w:id="1" w:name="_Hlk63074929"/>
    </w:p>
    <w:p w14:paraId="234E5B98" w14:textId="395C6E0F" w:rsidR="00D07C3C" w:rsidRPr="00D07C3C" w:rsidRDefault="00D07C3C" w:rsidP="00D07C3C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val="es-ES" w:eastAsia="es-DO"/>
        </w:rPr>
      </w:pP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Fuente: Superintendencia de Seguros, </w:t>
      </w:r>
      <w:r w:rsidR="00990DE8">
        <w:rPr>
          <w:rFonts w:ascii="Arial" w:eastAsia="Times New Roman" w:hAnsi="Arial" w:cs="Arial"/>
          <w:sz w:val="14"/>
          <w:szCs w:val="14"/>
          <w:lang w:val="es-DO" w:eastAsia="es-DO"/>
        </w:rPr>
        <w:t>Dirección</w:t>
      </w: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 de Análisis Financiero y Estadísticas</w:t>
      </w:r>
      <w:bookmarkEnd w:id="1"/>
      <w:r>
        <w:rPr>
          <w:rFonts w:ascii="Arial" w:eastAsia="Times New Roman" w:hAnsi="Arial" w:cs="Arial"/>
          <w:sz w:val="14"/>
          <w:szCs w:val="14"/>
          <w:lang w:val="es-DO" w:eastAsia="es-DO"/>
        </w:rPr>
        <w:t>.</w:t>
      </w:r>
    </w:p>
    <w:p w14:paraId="18774487" w14:textId="77777777" w:rsidR="00D07C3C" w:rsidRDefault="00D07C3C" w:rsidP="00D07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AD4095" w14:textId="1D75DC5D" w:rsidR="00C36168" w:rsidRPr="00744C11" w:rsidRDefault="00990DE8" w:rsidP="007E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De forma particular, se puede observar que: </w:t>
      </w:r>
      <w:r w:rsidR="00C36168" w:rsidRPr="00744C11">
        <w:rPr>
          <w:rFonts w:ascii="Times New Roman" w:hAnsi="Times New Roman" w:cs="Times New Roman"/>
          <w:b/>
          <w:bCs/>
          <w:sz w:val="24"/>
          <w:szCs w:val="24"/>
          <w:lang w:val="es-DO"/>
        </w:rPr>
        <w:t>Seguros Universal, S. A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. alcanz</w:t>
      </w:r>
      <w:r>
        <w:rPr>
          <w:rFonts w:ascii="Times New Roman" w:hAnsi="Times New Roman" w:cs="Times New Roman"/>
          <w:sz w:val="24"/>
          <w:szCs w:val="24"/>
          <w:lang w:val="es-DO"/>
        </w:rPr>
        <w:t>ó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un monto de RD$1,228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.0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millones en </w:t>
      </w:r>
      <w:r>
        <w:rPr>
          <w:rFonts w:ascii="Times New Roman" w:hAnsi="Times New Roman" w:cs="Times New Roman"/>
          <w:sz w:val="24"/>
          <w:szCs w:val="24"/>
          <w:lang w:val="es-DO"/>
        </w:rPr>
        <w:t>PNC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lo que representa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variación</w:t>
      </w:r>
      <w:r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de RD$-411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.6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millones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(-25.1%)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44C11">
        <w:rPr>
          <w:rFonts w:ascii="Times New Roman" w:hAnsi="Times New Roman" w:cs="Times New Roman"/>
          <w:sz w:val="24"/>
          <w:szCs w:val="24"/>
          <w:lang w:val="es-DO"/>
        </w:rPr>
        <w:t>en  comparación al año anterior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, en términos de representatividad esta obtuvo una participación de 22.2%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del total de PNC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; </w:t>
      </w:r>
      <w:r w:rsidR="00C36168" w:rsidRPr="00744C11">
        <w:rPr>
          <w:rFonts w:ascii="Times New Roman" w:hAnsi="Times New Roman" w:cs="Times New Roman"/>
          <w:b/>
          <w:bCs/>
          <w:sz w:val="24"/>
          <w:szCs w:val="24"/>
          <w:lang w:val="es-DO"/>
        </w:rPr>
        <w:t>Humano Seguros, S. A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., ocupa el segundo lugar con un monto en </w:t>
      </w:r>
      <w:r>
        <w:rPr>
          <w:rFonts w:ascii="Times New Roman" w:hAnsi="Times New Roman" w:cs="Times New Roman"/>
          <w:sz w:val="24"/>
          <w:szCs w:val="24"/>
          <w:lang w:val="es-DO"/>
        </w:rPr>
        <w:t>PNC</w:t>
      </w:r>
      <w:r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RD$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876.1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millones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, para un </w:t>
      </w:r>
      <w:r>
        <w:rPr>
          <w:rFonts w:ascii="Times New Roman" w:hAnsi="Times New Roman" w:cs="Times New Roman"/>
          <w:sz w:val="24"/>
          <w:szCs w:val="24"/>
          <w:lang w:val="es-DO"/>
        </w:rPr>
        <w:t>variación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de RD$ -105.1 millones (</w:t>
      </w:r>
      <w:r>
        <w:rPr>
          <w:rFonts w:ascii="Times New Roman" w:hAnsi="Times New Roman" w:cs="Times New Roman"/>
          <w:sz w:val="24"/>
          <w:szCs w:val="24"/>
          <w:lang w:val="es-DO"/>
        </w:rPr>
        <w:t>-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10.7%)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lo que indica</w:t>
      </w:r>
      <w:r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una participación del 1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>5.8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en el total de PNC del mercado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En la tercera posición se 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 xml:space="preserve">encuentra </w:t>
      </w:r>
      <w:r w:rsidR="00C36168" w:rsidRPr="00744C11">
        <w:rPr>
          <w:rFonts w:ascii="Times New Roman" w:hAnsi="Times New Roman" w:cs="Times New Roman"/>
          <w:b/>
          <w:bCs/>
          <w:sz w:val="24"/>
          <w:szCs w:val="24"/>
          <w:lang w:val="es-DO"/>
        </w:rPr>
        <w:t>Seguros Reservas, S. A.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>la cual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reportó 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un monto de </w:t>
      </w:r>
      <w:r>
        <w:rPr>
          <w:rFonts w:ascii="Times New Roman" w:hAnsi="Times New Roman" w:cs="Times New Roman"/>
          <w:sz w:val="24"/>
          <w:szCs w:val="24"/>
          <w:lang w:val="es-DO"/>
        </w:rPr>
        <w:t>PNC</w:t>
      </w:r>
      <w:r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de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RD$</w:t>
      </w:r>
      <w:r w:rsidR="00744C11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661.9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millones</w:t>
      </w:r>
      <w:r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equivalente a 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>un</w:t>
      </w:r>
      <w:r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contracción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 xml:space="preserve"> de RD$ 418.4 millones (38.7%) 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con relación al año anterior y </w:t>
      </w:r>
      <w:r w:rsidR="00A14F9B">
        <w:rPr>
          <w:rFonts w:ascii="Times New Roman" w:hAnsi="Times New Roman" w:cs="Times New Roman"/>
          <w:sz w:val="24"/>
          <w:szCs w:val="24"/>
          <w:lang w:val="es-DO"/>
        </w:rPr>
        <w:t>representando un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 xml:space="preserve"> 1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C36168" w:rsidRPr="00744C11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A14F9B">
        <w:rPr>
          <w:rFonts w:ascii="Times New Roman" w:hAnsi="Times New Roman" w:cs="Times New Roman"/>
          <w:sz w:val="24"/>
          <w:szCs w:val="24"/>
          <w:lang w:val="es-DO"/>
        </w:rPr>
        <w:t xml:space="preserve"> del total de PNC del mercado</w:t>
      </w:r>
      <w:r w:rsidR="00744C11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01AA5621" w14:textId="66C49087" w:rsidR="00D87A7D" w:rsidRPr="001D7382" w:rsidRDefault="00E421EF" w:rsidP="005F3239">
      <w:pPr>
        <w:spacing w:after="0" w:line="360" w:lineRule="auto"/>
        <w:jc w:val="both"/>
        <w:rPr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7C3C">
        <w:rPr>
          <w:rFonts w:ascii="Times New Roman" w:hAnsi="Times New Roman" w:cs="Times New Roman"/>
          <w:sz w:val="24"/>
          <w:szCs w:val="24"/>
          <w:lang w:val="es-ES"/>
        </w:rPr>
        <w:t>Durante este mes</w:t>
      </w:r>
      <w:r w:rsidR="00D07C3C" w:rsidRPr="00EA2601">
        <w:rPr>
          <w:rFonts w:ascii="Times New Roman" w:hAnsi="Times New Roman" w:cs="Times New Roman"/>
          <w:sz w:val="24"/>
          <w:szCs w:val="24"/>
          <w:lang w:val="es-ES"/>
        </w:rPr>
        <w:t>, las aseguradoras que mostraron un mayor crecimiento respecto al mismo período del año anterior fueron</w:t>
      </w:r>
      <w:r w:rsidR="00D07C3C" w:rsidRPr="006D2FA5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07C3C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="00D07C3C" w:rsidRPr="007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="00D07C3C" w:rsidRPr="007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Seguros, S.A</w:t>
      </w:r>
      <w:r w:rsidR="00D07C3C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D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1,012.5</w:t>
      </w:r>
      <w:r w:rsidR="00D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, </w:t>
      </w:r>
      <w:r w:rsidR="0012634E" w:rsidRPr="007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Unit, </w:t>
      </w:r>
      <w:r w:rsidR="00D07C3C" w:rsidRPr="007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S. A.</w:t>
      </w:r>
      <w:r w:rsidR="00D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909</w:t>
      </w:r>
      <w:r w:rsidR="00D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</w:t>
      </w:r>
      <w:r w:rsidR="00D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y </w:t>
      </w:r>
      <w:r w:rsidR="0012634E" w:rsidRPr="007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Angloamericana de Seguros, S. A.</w:t>
      </w:r>
      <w:r w:rsidR="00126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(102.8%).</w:t>
      </w:r>
      <w:r w:rsidR="00A14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</w:p>
    <w:sectPr w:rsidR="00D87A7D" w:rsidRPr="001D7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3C"/>
    <w:rsid w:val="0012634E"/>
    <w:rsid w:val="00126F01"/>
    <w:rsid w:val="001D7382"/>
    <w:rsid w:val="002B492C"/>
    <w:rsid w:val="003E2BF1"/>
    <w:rsid w:val="005B7FEC"/>
    <w:rsid w:val="005F3239"/>
    <w:rsid w:val="00623960"/>
    <w:rsid w:val="00624B40"/>
    <w:rsid w:val="006F3C42"/>
    <w:rsid w:val="00744C11"/>
    <w:rsid w:val="007E3447"/>
    <w:rsid w:val="0086427C"/>
    <w:rsid w:val="00990DE8"/>
    <w:rsid w:val="00A14F9B"/>
    <w:rsid w:val="00AA683B"/>
    <w:rsid w:val="00AF3EF4"/>
    <w:rsid w:val="00B011BD"/>
    <w:rsid w:val="00B65140"/>
    <w:rsid w:val="00B71386"/>
    <w:rsid w:val="00C2222E"/>
    <w:rsid w:val="00C36168"/>
    <w:rsid w:val="00CE35D0"/>
    <w:rsid w:val="00D07C3C"/>
    <w:rsid w:val="00D17A57"/>
    <w:rsid w:val="00D87A7D"/>
    <w:rsid w:val="00D97F6B"/>
    <w:rsid w:val="00DC6CF8"/>
    <w:rsid w:val="00E421EF"/>
    <w:rsid w:val="00F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6C2E"/>
  <w15:chartTrackingRefBased/>
  <w15:docId w15:val="{DF2DABEA-FA56-4408-80C9-B3F6E24C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3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0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DE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DE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E8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F323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5BCB-35F9-40AB-BF63-138CC86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7</cp:revision>
  <dcterms:created xsi:type="dcterms:W3CDTF">2021-03-02T19:00:00Z</dcterms:created>
  <dcterms:modified xsi:type="dcterms:W3CDTF">2021-03-03T15:06:00Z</dcterms:modified>
</cp:coreProperties>
</file>